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0018E" w14:textId="1AFFDBDA" w:rsidR="00067E5E" w:rsidRDefault="00067E5E" w:rsidP="00067E5E">
      <w:pPr>
        <w:jc w:val="center"/>
        <w:rPr>
          <w:rFonts w:ascii="Verdana" w:eastAsia="Verdana" w:hAnsi="Verdana" w:cs="Verdana"/>
          <w:b/>
        </w:rPr>
      </w:pPr>
      <w:r>
        <w:rPr>
          <w:rFonts w:ascii="Verdana" w:eastAsia="Verdana" w:hAnsi="Verdana" w:cs="Verdana"/>
          <w:b/>
        </w:rPr>
        <w:t>SECRETARÍA DISTRITAL DE CULTURA, RECREACIÓN Y DEPORTE</w:t>
      </w:r>
    </w:p>
    <w:p w14:paraId="7B188384" w14:textId="575E3819" w:rsidR="00067E5E" w:rsidRDefault="00067E5E" w:rsidP="00067E5E">
      <w:pPr>
        <w:jc w:val="center"/>
        <w:rPr>
          <w:rFonts w:ascii="Verdana" w:eastAsia="Verdana" w:hAnsi="Verdana" w:cs="Verdana"/>
          <w:b/>
        </w:rPr>
      </w:pPr>
      <w:r>
        <w:rPr>
          <w:rFonts w:ascii="Verdana" w:eastAsia="Verdana" w:hAnsi="Verdana" w:cs="Verdana"/>
          <w:b/>
        </w:rPr>
        <w:t>ESQUEMA DE ACOMPAÑAMIENTO A CONCEPTO FONDOS DE DESARROLLO LOCAL</w:t>
      </w:r>
    </w:p>
    <w:p w14:paraId="6967E461" w14:textId="77777777" w:rsidR="00067E5E" w:rsidRDefault="00067E5E" w:rsidP="00F35391">
      <w:pPr>
        <w:ind w:right="51"/>
        <w:jc w:val="both"/>
        <w:rPr>
          <w:rFonts w:ascii="Arial" w:eastAsia="Arial Narrow" w:hAnsi="Arial" w:cs="Arial"/>
          <w:sz w:val="22"/>
          <w:szCs w:val="22"/>
        </w:rPr>
      </w:pPr>
    </w:p>
    <w:p w14:paraId="2AF6A33B" w14:textId="22E5EAA8" w:rsidR="00C57AAF" w:rsidRPr="00126A07" w:rsidRDefault="00A95325" w:rsidP="00F35391">
      <w:pPr>
        <w:ind w:right="51"/>
        <w:jc w:val="both"/>
        <w:rPr>
          <w:rFonts w:ascii="Arial" w:eastAsia="Arial Narrow" w:hAnsi="Arial" w:cs="Arial"/>
          <w:sz w:val="22"/>
          <w:szCs w:val="22"/>
        </w:rPr>
      </w:pPr>
      <w:r w:rsidRPr="00126A07">
        <w:rPr>
          <w:rFonts w:ascii="Arial" w:eastAsia="Arial Narrow" w:hAnsi="Arial" w:cs="Arial"/>
          <w:sz w:val="22"/>
          <w:szCs w:val="22"/>
        </w:rPr>
        <w:t>La SCRD brindará el apoyo técnico en las fases del proyecto, en articulación con los agentes</w:t>
      </w:r>
      <w:r w:rsidR="00F35391">
        <w:rPr>
          <w:rFonts w:ascii="Arial" w:eastAsia="Arial Narrow" w:hAnsi="Arial" w:cs="Arial"/>
          <w:sz w:val="22"/>
          <w:szCs w:val="22"/>
        </w:rPr>
        <w:t xml:space="preserve"> </w:t>
      </w:r>
      <w:r w:rsidRPr="00126A07">
        <w:rPr>
          <w:rFonts w:ascii="Arial" w:eastAsia="Arial Narrow" w:hAnsi="Arial" w:cs="Arial"/>
          <w:sz w:val="22"/>
          <w:szCs w:val="22"/>
        </w:rPr>
        <w:t>del campo cultural y otros sectores, según sea el caso, respetando la autonomía del fondo de desarrollo local.</w:t>
      </w:r>
    </w:p>
    <w:p w14:paraId="197DB421" w14:textId="77777777" w:rsidR="00C57AAF" w:rsidRPr="00126A07" w:rsidRDefault="00C57AAF">
      <w:pPr>
        <w:ind w:right="424"/>
        <w:jc w:val="both"/>
        <w:rPr>
          <w:rFonts w:ascii="Arial" w:eastAsia="Calibri" w:hAnsi="Arial" w:cs="Arial"/>
          <w:sz w:val="22"/>
          <w:szCs w:val="22"/>
        </w:rPr>
      </w:pPr>
      <w:bookmarkStart w:id="1" w:name="_s1mg0ko08i8i" w:colFirst="0" w:colLast="0"/>
      <w:bookmarkEnd w:id="1"/>
    </w:p>
    <w:tbl>
      <w:tblPr>
        <w:tblStyle w:val="a"/>
        <w:tblW w:w="9397"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3131"/>
        <w:gridCol w:w="3120"/>
        <w:gridCol w:w="3146"/>
      </w:tblGrid>
      <w:tr w:rsidR="00F35391" w:rsidRPr="00F35391" w14:paraId="68EA68A8" w14:textId="77777777">
        <w:tc>
          <w:tcPr>
            <w:tcW w:w="3131" w:type="dxa"/>
            <w:shd w:val="clear" w:color="auto" w:fill="BFBFBF"/>
            <w:vAlign w:val="center"/>
          </w:tcPr>
          <w:p w14:paraId="06741D53"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Línea de Inversión</w:t>
            </w:r>
          </w:p>
        </w:tc>
        <w:tc>
          <w:tcPr>
            <w:tcW w:w="3120" w:type="dxa"/>
            <w:shd w:val="clear" w:color="auto" w:fill="BFBFBF"/>
            <w:vAlign w:val="center"/>
          </w:tcPr>
          <w:p w14:paraId="2F95A9A2"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Concepto de Gasto</w:t>
            </w:r>
          </w:p>
        </w:tc>
        <w:tc>
          <w:tcPr>
            <w:tcW w:w="3146" w:type="dxa"/>
            <w:shd w:val="clear" w:color="auto" w:fill="BFBFBF"/>
            <w:vAlign w:val="center"/>
          </w:tcPr>
          <w:p w14:paraId="1B997356" w14:textId="77777777" w:rsidR="00C57AAF" w:rsidRPr="00F35391" w:rsidRDefault="00A95325">
            <w:pPr>
              <w:jc w:val="center"/>
              <w:rPr>
                <w:rFonts w:ascii="Arial" w:eastAsia="Arial Narrow" w:hAnsi="Arial" w:cs="Arial"/>
                <w:b/>
                <w:sz w:val="18"/>
                <w:szCs w:val="18"/>
              </w:rPr>
            </w:pPr>
            <w:r w:rsidRPr="00F35391">
              <w:rPr>
                <w:rFonts w:ascii="Arial" w:eastAsia="Arial Narrow" w:hAnsi="Arial" w:cs="Arial"/>
                <w:b/>
                <w:sz w:val="18"/>
                <w:szCs w:val="18"/>
              </w:rPr>
              <w:t>Entidad</w:t>
            </w:r>
          </w:p>
        </w:tc>
      </w:tr>
      <w:tr w:rsidR="00F35391" w:rsidRPr="00F35391" w14:paraId="2E1AADCB" w14:textId="77777777">
        <w:tc>
          <w:tcPr>
            <w:tcW w:w="3131" w:type="dxa"/>
            <w:vMerge w:val="restart"/>
            <w:vAlign w:val="center"/>
          </w:tcPr>
          <w:p w14:paraId="03BDDAA3"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Desarrollo Social y Cultural</w:t>
            </w:r>
          </w:p>
        </w:tc>
        <w:tc>
          <w:tcPr>
            <w:tcW w:w="3120" w:type="dxa"/>
          </w:tcPr>
          <w:p w14:paraId="25795E62"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Apoyo y fortalecimiento a las industrias culturales y creativas en las localidades</w:t>
            </w:r>
          </w:p>
        </w:tc>
        <w:tc>
          <w:tcPr>
            <w:tcW w:w="3146" w:type="dxa"/>
            <w:vAlign w:val="center"/>
          </w:tcPr>
          <w:p w14:paraId="3C268DCC" w14:textId="234C71B2"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Subsecretaría de Gobernanza. </w:t>
            </w:r>
            <w:r w:rsidR="000D5B0E">
              <w:rPr>
                <w:rFonts w:ascii="Arial" w:eastAsia="Arial Narrow" w:hAnsi="Arial" w:cs="Arial"/>
                <w:sz w:val="18"/>
                <w:szCs w:val="18"/>
                <w:highlight w:val="white"/>
              </w:rPr>
              <w:t>Dirección de E</w:t>
            </w:r>
            <w:r w:rsidRPr="00F35391">
              <w:rPr>
                <w:rFonts w:ascii="Arial" w:eastAsia="Arial Narrow" w:hAnsi="Arial" w:cs="Arial"/>
                <w:sz w:val="18"/>
                <w:szCs w:val="18"/>
                <w:highlight w:val="white"/>
              </w:rPr>
              <w:t>conomía</w:t>
            </w:r>
            <w:r w:rsidR="000D5B0E">
              <w:rPr>
                <w:rFonts w:ascii="Arial" w:eastAsia="Arial Narrow" w:hAnsi="Arial" w:cs="Arial"/>
                <w:sz w:val="18"/>
                <w:szCs w:val="18"/>
                <w:highlight w:val="white"/>
              </w:rPr>
              <w:t>, Estudios y Política</w:t>
            </w:r>
          </w:p>
        </w:tc>
      </w:tr>
      <w:tr w:rsidR="00F35391" w:rsidRPr="00F35391" w14:paraId="6A7603A0" w14:textId="77777777">
        <w:tc>
          <w:tcPr>
            <w:tcW w:w="3131" w:type="dxa"/>
            <w:vMerge/>
            <w:vAlign w:val="center"/>
          </w:tcPr>
          <w:p w14:paraId="508A00B0"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594945C4"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Circulación y apropiación de prácticas artísticas, interculturales, culturales y patrimoniales.</w:t>
            </w:r>
          </w:p>
        </w:tc>
        <w:tc>
          <w:tcPr>
            <w:tcW w:w="3146" w:type="dxa"/>
            <w:vAlign w:val="center"/>
          </w:tcPr>
          <w:p w14:paraId="6B064445"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SCRD - Subdirección de Arte, Cultura y Patrimonio - Dirección de Asuntos Locales y Participación</w:t>
            </w:r>
          </w:p>
        </w:tc>
      </w:tr>
      <w:tr w:rsidR="00F35391" w:rsidRPr="00F35391" w14:paraId="6B92C598" w14:textId="77777777">
        <w:tc>
          <w:tcPr>
            <w:tcW w:w="3131" w:type="dxa"/>
            <w:vMerge/>
            <w:vAlign w:val="center"/>
          </w:tcPr>
          <w:p w14:paraId="4C75F501"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64450612"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Iniciativas de interés cultural, artístico, patrimonial y recreo deportivas.</w:t>
            </w:r>
          </w:p>
        </w:tc>
        <w:tc>
          <w:tcPr>
            <w:tcW w:w="3146" w:type="dxa"/>
            <w:vAlign w:val="center"/>
          </w:tcPr>
          <w:p w14:paraId="4706D128" w14:textId="7777777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SCRD - Dirección de Fomento</w:t>
            </w:r>
          </w:p>
        </w:tc>
      </w:tr>
      <w:tr w:rsidR="00F35391" w:rsidRPr="00F35391" w14:paraId="461C7A20" w14:textId="77777777">
        <w:tc>
          <w:tcPr>
            <w:tcW w:w="3131" w:type="dxa"/>
            <w:vMerge/>
            <w:vAlign w:val="center"/>
          </w:tcPr>
          <w:p w14:paraId="78B33ECB" w14:textId="77777777" w:rsidR="00C57AAF" w:rsidRPr="00F35391" w:rsidRDefault="00C57AAF">
            <w:pPr>
              <w:widowControl w:val="0"/>
              <w:pBdr>
                <w:top w:val="nil"/>
                <w:left w:val="nil"/>
                <w:bottom w:val="nil"/>
                <w:right w:val="nil"/>
                <w:between w:val="nil"/>
              </w:pBdr>
              <w:spacing w:line="276" w:lineRule="auto"/>
              <w:rPr>
                <w:rFonts w:ascii="Arial" w:eastAsia="Arial Narrow" w:hAnsi="Arial" w:cs="Arial"/>
                <w:sz w:val="18"/>
                <w:szCs w:val="18"/>
                <w:highlight w:val="white"/>
              </w:rPr>
            </w:pPr>
          </w:p>
        </w:tc>
        <w:tc>
          <w:tcPr>
            <w:tcW w:w="3120" w:type="dxa"/>
          </w:tcPr>
          <w:p w14:paraId="0F7CE537"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Procesos de formación y dotación de insumos para los campos artísticos, interculturales, culturales, patrimoniales y deportivos.</w:t>
            </w:r>
          </w:p>
        </w:tc>
        <w:tc>
          <w:tcPr>
            <w:tcW w:w="3146" w:type="dxa"/>
            <w:vAlign w:val="center"/>
          </w:tcPr>
          <w:p w14:paraId="45721F02" w14:textId="0626283E"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Subdirección de </w:t>
            </w:r>
            <w:r w:rsidR="000D5B0E">
              <w:rPr>
                <w:rFonts w:ascii="Arial" w:eastAsia="Arial Narrow" w:hAnsi="Arial" w:cs="Arial"/>
                <w:sz w:val="18"/>
                <w:szCs w:val="18"/>
                <w:highlight w:val="white"/>
              </w:rPr>
              <w:t>Gestión Cultural y Artística</w:t>
            </w:r>
          </w:p>
        </w:tc>
      </w:tr>
      <w:tr w:rsidR="00F35391" w:rsidRPr="00F35391" w14:paraId="3505EE91" w14:textId="77777777">
        <w:tc>
          <w:tcPr>
            <w:tcW w:w="3131" w:type="dxa"/>
            <w:vAlign w:val="center"/>
          </w:tcPr>
          <w:p w14:paraId="4D85F4C4" w14:textId="77777777" w:rsidR="00C57AAF" w:rsidRPr="00F35391" w:rsidRDefault="00A95325">
            <w:pPr>
              <w:widowControl w:val="0"/>
              <w:pBdr>
                <w:top w:val="nil"/>
                <w:left w:val="nil"/>
                <w:bottom w:val="nil"/>
                <w:right w:val="nil"/>
                <w:between w:val="nil"/>
              </w:pBdr>
              <w:spacing w:line="276" w:lineRule="auto"/>
              <w:jc w:val="center"/>
              <w:rPr>
                <w:rFonts w:ascii="Arial" w:eastAsia="Arial Narrow" w:hAnsi="Arial" w:cs="Arial"/>
                <w:sz w:val="18"/>
                <w:szCs w:val="18"/>
                <w:highlight w:val="white"/>
              </w:rPr>
            </w:pPr>
            <w:r w:rsidRPr="00F35391">
              <w:rPr>
                <w:rFonts w:ascii="Arial" w:eastAsia="Arial Narrow" w:hAnsi="Arial" w:cs="Arial"/>
                <w:sz w:val="18"/>
                <w:szCs w:val="18"/>
                <w:highlight w:val="white"/>
              </w:rPr>
              <w:t>Infraestructura</w:t>
            </w:r>
          </w:p>
        </w:tc>
        <w:tc>
          <w:tcPr>
            <w:tcW w:w="3120" w:type="dxa"/>
          </w:tcPr>
          <w:p w14:paraId="270BE68F" w14:textId="77777777" w:rsidR="00C57AAF" w:rsidRPr="00F35391" w:rsidRDefault="00A95325">
            <w:pPr>
              <w:jc w:val="both"/>
              <w:rPr>
                <w:rFonts w:ascii="Arial" w:eastAsia="Arial Narrow" w:hAnsi="Arial" w:cs="Arial"/>
                <w:sz w:val="18"/>
                <w:szCs w:val="18"/>
                <w:highlight w:val="white"/>
              </w:rPr>
            </w:pPr>
            <w:r w:rsidRPr="00F35391">
              <w:rPr>
                <w:rFonts w:ascii="Arial" w:eastAsia="Arial Narrow" w:hAnsi="Arial" w:cs="Arial"/>
                <w:sz w:val="18"/>
                <w:szCs w:val="18"/>
                <w:highlight w:val="white"/>
              </w:rPr>
              <w:t>Dotación e infraestructura cultural</w:t>
            </w:r>
          </w:p>
        </w:tc>
        <w:tc>
          <w:tcPr>
            <w:tcW w:w="3146" w:type="dxa"/>
            <w:vAlign w:val="center"/>
          </w:tcPr>
          <w:p w14:paraId="0E98D03F" w14:textId="2BA91357" w:rsidR="00C57AAF" w:rsidRPr="00F35391" w:rsidRDefault="00A95325">
            <w:pPr>
              <w:jc w:val="center"/>
              <w:rPr>
                <w:rFonts w:ascii="Arial" w:eastAsia="Arial Narrow" w:hAnsi="Arial" w:cs="Arial"/>
                <w:sz w:val="18"/>
                <w:szCs w:val="18"/>
                <w:highlight w:val="white"/>
              </w:rPr>
            </w:pPr>
            <w:r w:rsidRPr="00F35391">
              <w:rPr>
                <w:rFonts w:ascii="Arial" w:eastAsia="Arial Narrow" w:hAnsi="Arial" w:cs="Arial"/>
                <w:sz w:val="18"/>
                <w:szCs w:val="18"/>
                <w:highlight w:val="white"/>
              </w:rPr>
              <w:t xml:space="preserve">SCRD - Subdirección de Infraestructura </w:t>
            </w:r>
            <w:r w:rsidR="000D5B0E">
              <w:rPr>
                <w:rFonts w:ascii="Arial" w:eastAsia="Arial Narrow" w:hAnsi="Arial" w:cs="Arial"/>
                <w:sz w:val="18"/>
                <w:szCs w:val="18"/>
                <w:highlight w:val="white"/>
              </w:rPr>
              <w:t xml:space="preserve">y Patrimonio </w:t>
            </w:r>
            <w:r w:rsidRPr="00F35391">
              <w:rPr>
                <w:rFonts w:ascii="Arial" w:eastAsia="Arial Narrow" w:hAnsi="Arial" w:cs="Arial"/>
                <w:sz w:val="18"/>
                <w:szCs w:val="18"/>
                <w:highlight w:val="white"/>
              </w:rPr>
              <w:t>Cultura</w:t>
            </w:r>
            <w:r w:rsidR="000D5B0E">
              <w:rPr>
                <w:rFonts w:ascii="Arial" w:eastAsia="Arial Narrow" w:hAnsi="Arial" w:cs="Arial"/>
                <w:sz w:val="18"/>
                <w:szCs w:val="18"/>
                <w:highlight w:val="white"/>
              </w:rPr>
              <w:t>l</w:t>
            </w:r>
          </w:p>
          <w:p w14:paraId="1779C1A1" w14:textId="77777777" w:rsidR="00C57AAF" w:rsidRPr="00F35391" w:rsidRDefault="00C57AAF">
            <w:pPr>
              <w:jc w:val="center"/>
              <w:rPr>
                <w:rFonts w:ascii="Arial" w:eastAsia="Arial Narrow" w:hAnsi="Arial" w:cs="Arial"/>
                <w:sz w:val="18"/>
                <w:szCs w:val="18"/>
                <w:highlight w:val="white"/>
              </w:rPr>
            </w:pPr>
          </w:p>
        </w:tc>
      </w:tr>
    </w:tbl>
    <w:p w14:paraId="3F9E098B" w14:textId="77777777" w:rsidR="00C57AAF" w:rsidRPr="00126A07" w:rsidRDefault="00C57AAF">
      <w:pPr>
        <w:ind w:right="424"/>
        <w:jc w:val="both"/>
        <w:rPr>
          <w:rFonts w:ascii="Arial" w:eastAsia="Calibri" w:hAnsi="Arial" w:cs="Arial"/>
          <w:sz w:val="22"/>
          <w:szCs w:val="22"/>
        </w:rPr>
      </w:pPr>
    </w:p>
    <w:p w14:paraId="2CE0DD4F" w14:textId="77777777" w:rsidR="00C57AAF" w:rsidRPr="00126A07" w:rsidRDefault="00A95325">
      <w:pPr>
        <w:ind w:right="424"/>
        <w:jc w:val="both"/>
        <w:rPr>
          <w:rFonts w:ascii="Arial" w:eastAsia="Calibri" w:hAnsi="Arial" w:cs="Arial"/>
          <w:b/>
          <w:sz w:val="22"/>
          <w:szCs w:val="22"/>
          <w:u w:val="single"/>
        </w:rPr>
      </w:pPr>
      <w:r w:rsidRPr="00126A07">
        <w:rPr>
          <w:rFonts w:ascii="Arial" w:eastAsia="Calibri" w:hAnsi="Arial" w:cs="Arial"/>
          <w:b/>
          <w:sz w:val="22"/>
          <w:szCs w:val="22"/>
          <w:u w:val="single"/>
        </w:rPr>
        <w:t>ESQUEMA DE ACOMPAÑAMIENTO</w:t>
      </w:r>
    </w:p>
    <w:p w14:paraId="4996E1F0" w14:textId="77777777" w:rsidR="00C57AAF" w:rsidRPr="00126A07" w:rsidRDefault="00C57AAF">
      <w:pPr>
        <w:ind w:right="424"/>
        <w:jc w:val="both"/>
        <w:rPr>
          <w:rFonts w:ascii="Arial" w:eastAsia="Calibri" w:hAnsi="Arial" w:cs="Arial"/>
          <w:i/>
          <w:sz w:val="22"/>
          <w:szCs w:val="22"/>
        </w:rPr>
      </w:pPr>
    </w:p>
    <w:p w14:paraId="3C667D8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 xml:space="preserve">Fase 1. Identificación y caracterización:  </w:t>
      </w:r>
    </w:p>
    <w:p w14:paraId="42EB10AB" w14:textId="77777777" w:rsidR="00C57AAF" w:rsidRPr="00126A07" w:rsidRDefault="00C57AAF">
      <w:pPr>
        <w:jc w:val="both"/>
        <w:rPr>
          <w:rFonts w:ascii="Arial" w:eastAsia="Calibri" w:hAnsi="Arial" w:cs="Arial"/>
          <w:i/>
          <w:sz w:val="22"/>
          <w:szCs w:val="22"/>
        </w:rPr>
      </w:pPr>
    </w:p>
    <w:p w14:paraId="4EEB3B6C" w14:textId="6A00E4C6"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Acompañamiento técnico en las etapas previas a la formulación del proyecto. Apoyo en la caracterización de las problemáticas, necesidades y oportunidades del campo cultural, en el marco de los Conceptos de Gasto liderados por el Sector, a fin de elaborar, ajustar y/o armonizar los criterios técnicos para la formulación de proyectos; esta </w:t>
      </w:r>
      <w:r w:rsidR="00F35391" w:rsidRPr="00126A07">
        <w:rPr>
          <w:rFonts w:ascii="Arial" w:eastAsia="Calibri" w:hAnsi="Arial" w:cs="Arial"/>
          <w:sz w:val="22"/>
          <w:szCs w:val="22"/>
        </w:rPr>
        <w:t>fase se</w:t>
      </w:r>
      <w:r w:rsidRPr="00126A07">
        <w:rPr>
          <w:rFonts w:ascii="Arial" w:eastAsia="Calibri" w:hAnsi="Arial" w:cs="Arial"/>
          <w:sz w:val="22"/>
          <w:szCs w:val="22"/>
        </w:rPr>
        <w:t xml:space="preserve"> adelantará a través de los profesionales de gestión cultural </w:t>
      </w:r>
      <w:r w:rsidR="00F35391" w:rsidRPr="00126A07">
        <w:rPr>
          <w:rFonts w:ascii="Arial" w:eastAsia="Calibri" w:hAnsi="Arial" w:cs="Arial"/>
          <w:sz w:val="22"/>
          <w:szCs w:val="22"/>
        </w:rPr>
        <w:t>territorial y</w:t>
      </w:r>
      <w:r w:rsidRPr="00126A07">
        <w:rPr>
          <w:rFonts w:ascii="Arial" w:eastAsia="Calibri" w:hAnsi="Arial" w:cs="Arial"/>
          <w:sz w:val="22"/>
          <w:szCs w:val="22"/>
        </w:rPr>
        <w:t xml:space="preserve">/o delegados por parte de las áreas técnicas de la SCRD. </w:t>
      </w:r>
    </w:p>
    <w:p w14:paraId="31538D21" w14:textId="77777777" w:rsidR="00C57AAF" w:rsidRPr="00126A07" w:rsidRDefault="00C57AAF">
      <w:pPr>
        <w:jc w:val="both"/>
        <w:rPr>
          <w:rFonts w:ascii="Arial" w:eastAsia="Calibri" w:hAnsi="Arial" w:cs="Arial"/>
          <w:i/>
          <w:sz w:val="22"/>
          <w:szCs w:val="22"/>
        </w:rPr>
      </w:pPr>
    </w:p>
    <w:p w14:paraId="6D59FE3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 xml:space="preserve">Fase 2. Formulación de proyectos </w:t>
      </w:r>
    </w:p>
    <w:p w14:paraId="307B1612" w14:textId="77777777" w:rsidR="00C57AAF" w:rsidRPr="00126A07" w:rsidRDefault="00C57AAF">
      <w:pPr>
        <w:jc w:val="both"/>
        <w:rPr>
          <w:rFonts w:ascii="Arial" w:eastAsia="Calibri" w:hAnsi="Arial" w:cs="Arial"/>
          <w:i/>
          <w:sz w:val="22"/>
          <w:szCs w:val="22"/>
        </w:rPr>
      </w:pPr>
    </w:p>
    <w:p w14:paraId="7D0A7518" w14:textId="5F497DDF"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Acompañamiento técnico en la formulación de los proyectos de inversión local, mediante mesas </w:t>
      </w:r>
      <w:r w:rsidR="00126A07" w:rsidRPr="00126A07">
        <w:rPr>
          <w:rFonts w:ascii="Arial" w:eastAsia="Calibri" w:hAnsi="Arial" w:cs="Arial"/>
          <w:sz w:val="22"/>
          <w:szCs w:val="22"/>
        </w:rPr>
        <w:t>técnicas de</w:t>
      </w:r>
      <w:r w:rsidRPr="00126A07">
        <w:rPr>
          <w:rFonts w:ascii="Arial" w:eastAsia="Calibri" w:hAnsi="Arial" w:cs="Arial"/>
          <w:sz w:val="22"/>
          <w:szCs w:val="22"/>
        </w:rPr>
        <w:t xml:space="preserve"> trabajo entre los profesionales de gestión cultural territorial</w:t>
      </w:r>
      <w:r w:rsidR="00F35391">
        <w:rPr>
          <w:rFonts w:ascii="Arial" w:eastAsia="Calibri" w:hAnsi="Arial" w:cs="Arial"/>
          <w:sz w:val="22"/>
          <w:szCs w:val="22"/>
        </w:rPr>
        <w:t xml:space="preserve"> </w:t>
      </w:r>
      <w:r w:rsidRPr="00126A07">
        <w:rPr>
          <w:rFonts w:ascii="Arial" w:eastAsia="Calibri" w:hAnsi="Arial" w:cs="Arial"/>
          <w:sz w:val="22"/>
          <w:szCs w:val="22"/>
        </w:rPr>
        <w:t xml:space="preserve">y/o delegados por parte de las áreas técnicas responsables de cada concepto de gasto y la </w:t>
      </w:r>
      <w:r w:rsidR="00B149BD">
        <w:rPr>
          <w:rFonts w:ascii="Arial" w:eastAsia="Calibri" w:hAnsi="Arial" w:cs="Arial"/>
          <w:sz w:val="22"/>
          <w:szCs w:val="22"/>
        </w:rPr>
        <w:t>Oficina Asesora</w:t>
      </w:r>
      <w:r w:rsidRPr="00126A07">
        <w:rPr>
          <w:rFonts w:ascii="Arial" w:eastAsia="Calibri" w:hAnsi="Arial" w:cs="Arial"/>
          <w:sz w:val="22"/>
          <w:szCs w:val="22"/>
        </w:rPr>
        <w:t xml:space="preserve"> de Planeación de SCRD, en los casos que se requiera su asesoría. En el proceso de estructuración de los proyectos se contará con la participación de los Consejos Locales de Arte, Cultura y Patrimonio. </w:t>
      </w:r>
    </w:p>
    <w:p w14:paraId="153B21A4" w14:textId="77777777" w:rsidR="00C57AAF" w:rsidRPr="00126A07" w:rsidRDefault="00C57AAF">
      <w:pPr>
        <w:jc w:val="both"/>
        <w:rPr>
          <w:rFonts w:ascii="Arial" w:eastAsia="Calibri" w:hAnsi="Arial" w:cs="Arial"/>
          <w:sz w:val="22"/>
          <w:szCs w:val="22"/>
        </w:rPr>
      </w:pPr>
    </w:p>
    <w:p w14:paraId="1886573D"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Fase 3. Concepto previo y favorable</w:t>
      </w:r>
    </w:p>
    <w:p w14:paraId="74CD7DA6" w14:textId="77777777" w:rsidR="00C57AAF" w:rsidRPr="00126A07" w:rsidRDefault="00C57AAF">
      <w:pPr>
        <w:jc w:val="both"/>
        <w:rPr>
          <w:rFonts w:ascii="Arial" w:eastAsia="Calibri" w:hAnsi="Arial" w:cs="Arial"/>
          <w:sz w:val="22"/>
          <w:szCs w:val="22"/>
        </w:rPr>
      </w:pPr>
    </w:p>
    <w:p w14:paraId="0A5A35E1" w14:textId="6F305ABF"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De acuerdo con los lineamientos y plazos para la emisión de los conceptos previos y favorables de los sectores y las entidades distritales establecidos por la Secretaría Distrital de Planeación (Artículo 12 del Decreto 768 de 2019</w:t>
      </w:r>
      <w:r w:rsidR="005C5400">
        <w:rPr>
          <w:rFonts w:ascii="Arial" w:eastAsia="Calibri" w:hAnsi="Arial" w:cs="Arial"/>
          <w:sz w:val="22"/>
          <w:szCs w:val="22"/>
        </w:rPr>
        <w:t xml:space="preserve"> y Circular 006 de 2021</w:t>
      </w:r>
      <w:r w:rsidRPr="00126A07">
        <w:rPr>
          <w:rFonts w:ascii="Arial" w:eastAsia="Calibri" w:hAnsi="Arial" w:cs="Arial"/>
          <w:sz w:val="22"/>
          <w:szCs w:val="22"/>
        </w:rPr>
        <w:t xml:space="preserve">), se realizará la verificación de </w:t>
      </w:r>
      <w:r w:rsidR="005C5400">
        <w:rPr>
          <w:rFonts w:ascii="Arial" w:eastAsia="Calibri" w:hAnsi="Arial" w:cs="Arial"/>
          <w:sz w:val="22"/>
          <w:szCs w:val="22"/>
        </w:rPr>
        <w:t xml:space="preserve">la solicitud de </w:t>
      </w:r>
      <w:r w:rsidRPr="00126A07">
        <w:rPr>
          <w:rFonts w:ascii="Arial" w:eastAsia="Calibri" w:hAnsi="Arial" w:cs="Arial"/>
          <w:sz w:val="22"/>
          <w:szCs w:val="22"/>
        </w:rPr>
        <w:t xml:space="preserve">los proyectos de inversión local en coherencia con sus Documentos Técnicos de Soporte -DTS-, </w:t>
      </w:r>
      <w:r w:rsidR="005C5400">
        <w:rPr>
          <w:rFonts w:ascii="Arial" w:eastAsia="Calibri" w:hAnsi="Arial" w:cs="Arial"/>
          <w:sz w:val="22"/>
          <w:szCs w:val="22"/>
        </w:rPr>
        <w:t>l</w:t>
      </w:r>
      <w:r w:rsidRPr="00126A07">
        <w:rPr>
          <w:rFonts w:ascii="Arial" w:eastAsia="Calibri" w:hAnsi="Arial" w:cs="Arial"/>
          <w:sz w:val="22"/>
          <w:szCs w:val="22"/>
        </w:rPr>
        <w:t>os Conceptos de Gasto de las Líneas de Inversión</w:t>
      </w:r>
      <w:r w:rsidR="005C5400">
        <w:rPr>
          <w:rFonts w:ascii="Arial" w:eastAsia="Calibri" w:hAnsi="Arial" w:cs="Arial"/>
          <w:sz w:val="22"/>
          <w:szCs w:val="22"/>
        </w:rPr>
        <w:t>,</w:t>
      </w:r>
      <w:r w:rsidRPr="00126A07">
        <w:rPr>
          <w:rFonts w:ascii="Arial" w:eastAsia="Calibri" w:hAnsi="Arial" w:cs="Arial"/>
          <w:sz w:val="22"/>
          <w:szCs w:val="22"/>
        </w:rPr>
        <w:t xml:space="preserve"> los Criterios de Elegibilidad y Viabilidad</w:t>
      </w:r>
      <w:r w:rsidR="005C5400">
        <w:rPr>
          <w:rFonts w:ascii="Arial" w:eastAsia="Calibri" w:hAnsi="Arial" w:cs="Arial"/>
          <w:sz w:val="22"/>
          <w:szCs w:val="22"/>
        </w:rPr>
        <w:t xml:space="preserve"> y los anexos técnicos requeridos por la Secretaría de Cultura, Recreación y Deporte.</w:t>
      </w:r>
    </w:p>
    <w:p w14:paraId="41D1B3DB" w14:textId="77777777" w:rsidR="00C57AAF" w:rsidRPr="00126A07" w:rsidRDefault="00C57AAF">
      <w:pPr>
        <w:jc w:val="both"/>
        <w:rPr>
          <w:rFonts w:ascii="Arial" w:eastAsia="Calibri" w:hAnsi="Arial" w:cs="Arial"/>
          <w:sz w:val="22"/>
          <w:szCs w:val="22"/>
        </w:rPr>
      </w:pPr>
    </w:p>
    <w:p w14:paraId="24EDBE77" w14:textId="55C920DD"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 xml:space="preserve">La expedición de este concepto previo y favorable se hará posterior a la solicitud que la Alcaldía Local realiza a la </w:t>
      </w:r>
      <w:r w:rsidR="006F1703">
        <w:rPr>
          <w:rFonts w:ascii="Arial" w:eastAsia="Calibri" w:hAnsi="Arial" w:cs="Arial"/>
          <w:sz w:val="22"/>
          <w:szCs w:val="22"/>
        </w:rPr>
        <w:t>Oficina Asesora</w:t>
      </w:r>
      <w:r w:rsidRPr="00126A07">
        <w:rPr>
          <w:rFonts w:ascii="Arial" w:eastAsia="Calibri" w:hAnsi="Arial" w:cs="Arial"/>
          <w:sz w:val="22"/>
          <w:szCs w:val="22"/>
        </w:rPr>
        <w:t xml:space="preserve"> de Planeación de la SCRD, la cual a su vez remitirá al interior de las áreas misionales responsables de cada concepto de gasto y los distintos equipos técnicos encargados de emitir el concepto técnico y </w:t>
      </w:r>
      <w:r w:rsidR="00F35391" w:rsidRPr="00126A07">
        <w:rPr>
          <w:rFonts w:ascii="Arial" w:eastAsia="Calibri" w:hAnsi="Arial" w:cs="Arial"/>
          <w:sz w:val="22"/>
          <w:szCs w:val="22"/>
        </w:rPr>
        <w:t>favorable del</w:t>
      </w:r>
      <w:r w:rsidRPr="00126A07">
        <w:rPr>
          <w:rFonts w:ascii="Arial" w:eastAsia="Calibri" w:hAnsi="Arial" w:cs="Arial"/>
          <w:sz w:val="22"/>
          <w:szCs w:val="22"/>
        </w:rPr>
        <w:t xml:space="preserve"> proyecto.</w:t>
      </w:r>
    </w:p>
    <w:p w14:paraId="4FB08FE8" w14:textId="77777777" w:rsidR="00C57AAF" w:rsidRPr="00126A07" w:rsidRDefault="00C57AAF">
      <w:pPr>
        <w:jc w:val="both"/>
        <w:rPr>
          <w:rFonts w:ascii="Arial" w:eastAsia="Calibri" w:hAnsi="Arial" w:cs="Arial"/>
          <w:sz w:val="22"/>
          <w:szCs w:val="22"/>
        </w:rPr>
      </w:pPr>
    </w:p>
    <w:p w14:paraId="438D855B" w14:textId="77777777" w:rsidR="00C57AAF" w:rsidRPr="00126A07" w:rsidRDefault="00A95325">
      <w:pPr>
        <w:numPr>
          <w:ilvl w:val="0"/>
          <w:numId w:val="1"/>
        </w:numPr>
        <w:jc w:val="both"/>
        <w:rPr>
          <w:rFonts w:ascii="Arial" w:hAnsi="Arial" w:cs="Arial"/>
          <w:i/>
          <w:sz w:val="22"/>
          <w:szCs w:val="22"/>
        </w:rPr>
      </w:pPr>
      <w:r w:rsidRPr="00126A07">
        <w:rPr>
          <w:rFonts w:ascii="Arial" w:eastAsia="Calibri" w:hAnsi="Arial" w:cs="Arial"/>
          <w:i/>
          <w:sz w:val="22"/>
          <w:szCs w:val="22"/>
        </w:rPr>
        <w:t xml:space="preserve">Fase 4.  Ejecución </w:t>
      </w:r>
    </w:p>
    <w:p w14:paraId="2741D83D" w14:textId="77777777" w:rsidR="00C57AAF" w:rsidRPr="00126A07" w:rsidRDefault="00C57AAF">
      <w:pPr>
        <w:jc w:val="both"/>
        <w:rPr>
          <w:rFonts w:ascii="Arial" w:eastAsia="Calibri" w:hAnsi="Arial" w:cs="Arial"/>
          <w:i/>
          <w:sz w:val="22"/>
          <w:szCs w:val="22"/>
        </w:rPr>
      </w:pPr>
    </w:p>
    <w:p w14:paraId="24117062" w14:textId="77777777" w:rsidR="00C57AAF" w:rsidRPr="00126A07" w:rsidRDefault="00A95325">
      <w:pPr>
        <w:jc w:val="both"/>
        <w:rPr>
          <w:rFonts w:ascii="Arial" w:eastAsia="Calibri" w:hAnsi="Arial" w:cs="Arial"/>
          <w:sz w:val="22"/>
          <w:szCs w:val="22"/>
        </w:rPr>
      </w:pPr>
      <w:r w:rsidRPr="00126A07">
        <w:rPr>
          <w:rFonts w:ascii="Arial" w:eastAsia="Calibri" w:hAnsi="Arial" w:cs="Arial"/>
          <w:sz w:val="22"/>
          <w:szCs w:val="22"/>
        </w:rPr>
        <w:t>Una vez el proyecto cuente con concepto de viabilidad favorable y los Fondos de Desarrollo Local realicen los trámites para el inicio de las actividades, los profesionales de enlace de SCRD, previa solicitud de la Alcaldía Local, acompañarán el Comité Técnico de ejecución del proyecto de inversión con el fin de brindar la asesoría técnica requerida para la implementación de la política pública cultural en cada territorio y facilitar la articulación con los agentes del campo cultural.</w:t>
      </w:r>
    </w:p>
    <w:p w14:paraId="4C11195F" w14:textId="77777777" w:rsidR="00C57AAF" w:rsidRPr="00126A07" w:rsidRDefault="00C57AAF">
      <w:pPr>
        <w:jc w:val="both"/>
        <w:rPr>
          <w:rFonts w:ascii="Arial" w:eastAsia="Calibri" w:hAnsi="Arial" w:cs="Arial"/>
          <w:sz w:val="22"/>
          <w:szCs w:val="22"/>
        </w:rPr>
      </w:pPr>
    </w:p>
    <w:p w14:paraId="47072D13" w14:textId="77777777" w:rsidR="00C57AAF" w:rsidRPr="00126A07" w:rsidRDefault="00A95325">
      <w:pPr>
        <w:numPr>
          <w:ilvl w:val="0"/>
          <w:numId w:val="1"/>
        </w:numPr>
        <w:spacing w:line="276" w:lineRule="auto"/>
        <w:jc w:val="both"/>
        <w:rPr>
          <w:rFonts w:ascii="Arial" w:eastAsia="Calibri" w:hAnsi="Arial" w:cs="Arial"/>
          <w:i/>
          <w:sz w:val="22"/>
          <w:szCs w:val="22"/>
        </w:rPr>
      </w:pPr>
      <w:r w:rsidRPr="00126A07">
        <w:rPr>
          <w:rFonts w:ascii="Arial" w:eastAsia="Calibri" w:hAnsi="Arial" w:cs="Arial"/>
          <w:i/>
          <w:sz w:val="22"/>
          <w:szCs w:val="22"/>
        </w:rPr>
        <w:t>Fase 5. Acompañamiento</w:t>
      </w:r>
    </w:p>
    <w:p w14:paraId="79590A64" w14:textId="77777777" w:rsidR="00C57AAF" w:rsidRPr="00126A07" w:rsidRDefault="00C57AAF">
      <w:pPr>
        <w:jc w:val="both"/>
        <w:rPr>
          <w:rFonts w:ascii="Arial" w:eastAsia="Calibri" w:hAnsi="Arial" w:cs="Arial"/>
          <w:sz w:val="22"/>
          <w:szCs w:val="22"/>
        </w:rPr>
      </w:pPr>
    </w:p>
    <w:p w14:paraId="67F08C05" w14:textId="00C33F80" w:rsidR="00C57AAF" w:rsidRPr="00126A07" w:rsidRDefault="00A95325" w:rsidP="00D21009">
      <w:pPr>
        <w:spacing w:line="276" w:lineRule="auto"/>
        <w:ind w:right="51"/>
        <w:jc w:val="both"/>
        <w:rPr>
          <w:rFonts w:ascii="Arial" w:eastAsia="Calibri" w:hAnsi="Arial" w:cs="Arial"/>
          <w:sz w:val="22"/>
          <w:szCs w:val="22"/>
        </w:rPr>
      </w:pPr>
      <w:r w:rsidRPr="00126A07">
        <w:rPr>
          <w:rFonts w:ascii="Arial" w:eastAsia="Calibri" w:hAnsi="Arial" w:cs="Arial"/>
          <w:sz w:val="22"/>
          <w:szCs w:val="22"/>
        </w:rPr>
        <w:t xml:space="preserve">Los profesionales de gestión </w:t>
      </w:r>
      <w:r w:rsidR="00D21009" w:rsidRPr="00126A07">
        <w:rPr>
          <w:rFonts w:ascii="Arial" w:eastAsia="Calibri" w:hAnsi="Arial" w:cs="Arial"/>
          <w:sz w:val="22"/>
          <w:szCs w:val="22"/>
        </w:rPr>
        <w:t>cultural brindarán</w:t>
      </w:r>
      <w:r w:rsidRPr="00126A07">
        <w:rPr>
          <w:rFonts w:ascii="Arial" w:eastAsia="Calibri" w:hAnsi="Arial" w:cs="Arial"/>
          <w:sz w:val="22"/>
          <w:szCs w:val="22"/>
        </w:rPr>
        <w:t xml:space="preserve"> acompañamiento en el proceso de</w:t>
      </w:r>
      <w:r w:rsidR="00080E09">
        <w:rPr>
          <w:rFonts w:ascii="Arial" w:eastAsia="Calibri" w:hAnsi="Arial" w:cs="Arial"/>
          <w:sz w:val="22"/>
          <w:szCs w:val="22"/>
        </w:rPr>
        <w:t xml:space="preserve"> formulación y </w:t>
      </w:r>
      <w:r w:rsidRPr="00126A07">
        <w:rPr>
          <w:rFonts w:ascii="Arial" w:eastAsia="Calibri" w:hAnsi="Arial" w:cs="Arial"/>
          <w:sz w:val="22"/>
          <w:szCs w:val="22"/>
        </w:rPr>
        <w:t xml:space="preserve"> ejecución y en las actividades que se desarrollen, según lo establecido por el Fondo de Desarrollo Local. </w:t>
      </w:r>
    </w:p>
    <w:p w14:paraId="12389906" w14:textId="77777777" w:rsidR="00C57AAF" w:rsidRPr="00126A07" w:rsidRDefault="00C57AAF">
      <w:pPr>
        <w:spacing w:line="276" w:lineRule="auto"/>
        <w:ind w:right="420"/>
        <w:jc w:val="both"/>
        <w:rPr>
          <w:rFonts w:ascii="Arial" w:eastAsia="Calibri" w:hAnsi="Arial" w:cs="Arial"/>
          <w:sz w:val="22"/>
          <w:szCs w:val="22"/>
        </w:rPr>
      </w:pPr>
    </w:p>
    <w:p w14:paraId="27E61FA5" w14:textId="2D2F1B38" w:rsidR="00C57AAF" w:rsidRPr="00126A07" w:rsidRDefault="00A95325" w:rsidP="00067E5E">
      <w:pPr>
        <w:jc w:val="center"/>
        <w:rPr>
          <w:rFonts w:ascii="Arial" w:eastAsia="Calibri" w:hAnsi="Arial" w:cs="Arial"/>
          <w:sz w:val="22"/>
          <w:szCs w:val="22"/>
        </w:rPr>
      </w:pPr>
      <w:r w:rsidRPr="00126A07">
        <w:rPr>
          <w:rFonts w:ascii="Arial" w:eastAsia="Calibri" w:hAnsi="Arial" w:cs="Arial"/>
          <w:noProof/>
          <w:sz w:val="22"/>
          <w:szCs w:val="22"/>
        </w:rPr>
        <w:drawing>
          <wp:inline distT="114300" distB="114300" distL="114300" distR="114300" wp14:anchorId="4258BA75" wp14:editId="19395C0E">
            <wp:extent cx="4496435" cy="2419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26806" cy="2435691"/>
                    </a:xfrm>
                    <a:prstGeom prst="rect">
                      <a:avLst/>
                    </a:prstGeom>
                    <a:ln/>
                  </pic:spPr>
                </pic:pic>
              </a:graphicData>
            </a:graphic>
          </wp:inline>
        </w:drawing>
      </w:r>
    </w:p>
    <w:sectPr w:rsidR="00C57AAF" w:rsidRPr="00126A07" w:rsidSect="00067E5E">
      <w:headerReference w:type="default" r:id="rId8"/>
      <w:footerReference w:type="even" r:id="rId9"/>
      <w:footerReference w:type="default" r:id="rId10"/>
      <w:pgSz w:w="12242" w:h="15842"/>
      <w:pgMar w:top="1134" w:right="1134" w:bottom="1701" w:left="1701" w:header="1134" w:footer="5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C0A2" w14:textId="77777777" w:rsidR="00EC57AD" w:rsidRDefault="00EC57AD">
      <w:r>
        <w:separator/>
      </w:r>
    </w:p>
  </w:endnote>
  <w:endnote w:type="continuationSeparator" w:id="0">
    <w:p w14:paraId="1161AB73" w14:textId="77777777" w:rsidR="00EC57AD" w:rsidRDefault="00EC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imbus Roman No9 L">
    <w:altName w:val="Calibri"/>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69E3" w14:textId="77777777" w:rsidR="00C57AAF" w:rsidRDefault="00A9532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73D9052D" w14:textId="77777777" w:rsidR="00C57AAF" w:rsidRDefault="00C57AA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098E" w14:textId="1F5D967D" w:rsidR="00B312DD" w:rsidRDefault="00F35391" w:rsidP="00B312DD">
    <w:pPr>
      <w:pStyle w:val="Footer"/>
      <w:tabs>
        <w:tab w:val="right" w:pos="8789"/>
      </w:tabs>
    </w:pPr>
    <w:r>
      <w:t xml:space="preserve">            </w:t>
    </w:r>
    <w:r w:rsidR="00B312DD">
      <w:rPr>
        <w:noProof/>
      </w:rPr>
      <w:drawing>
        <wp:inline distT="0" distB="0" distL="0" distR="0" wp14:anchorId="6462F3C7" wp14:editId="432F063D">
          <wp:extent cx="2057400" cy="97282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63340"/>
                  <a:stretch/>
                </pic:blipFill>
                <pic:spPr bwMode="auto">
                  <a:xfrm>
                    <a:off x="0" y="0"/>
                    <a:ext cx="2057400" cy="9728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B312DD">
      <w:rPr>
        <w:rFonts w:ascii="Arial" w:hAnsi="Arial" w:cs="Arial"/>
        <w:sz w:val="16"/>
        <w:szCs w:val="16"/>
      </w:rPr>
      <w:t xml:space="preserve"> </w:t>
    </w:r>
    <w:r w:rsidR="00B312DD">
      <w:rPr>
        <w:rFonts w:ascii="Arial" w:hAnsi="Arial" w:cs="Arial"/>
        <w:sz w:val="16"/>
        <w:szCs w:val="16"/>
      </w:rPr>
      <w:tab/>
    </w:r>
    <w:r w:rsidR="00B312DD">
      <w:rPr>
        <w:rFonts w:ascii="Arial" w:hAnsi="Arial" w:cs="Arial"/>
        <w:sz w:val="16"/>
        <w:szCs w:val="16"/>
      </w:rPr>
      <w:tab/>
    </w:r>
    <w:r w:rsidR="00B312DD">
      <w:rPr>
        <w:noProof/>
      </w:rPr>
      <w:drawing>
        <wp:inline distT="0" distB="0" distL="0" distR="0" wp14:anchorId="48DDF641" wp14:editId="063CF395">
          <wp:extent cx="791833" cy="858520"/>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4012"/>
                  <a:stretch/>
                </pic:blipFill>
                <pic:spPr bwMode="auto">
                  <a:xfrm>
                    <a:off x="0" y="0"/>
                    <a:ext cx="796328" cy="863393"/>
                  </a:xfrm>
                  <a:prstGeom prst="rect">
                    <a:avLst/>
                  </a:prstGeom>
                  <a:noFill/>
                  <a:ln>
                    <a:noFill/>
                  </a:ln>
                  <a:extLst>
                    <a:ext uri="{53640926-AAD7-44D8-BBD7-CCE9431645EC}">
                      <a14:shadowObscured xmlns:a14="http://schemas.microsoft.com/office/drawing/2010/main"/>
                    </a:ext>
                  </a:extLst>
                </pic:spPr>
              </pic:pic>
            </a:graphicData>
          </a:graphic>
        </wp:inline>
      </w:drawing>
    </w:r>
  </w:p>
  <w:p w14:paraId="002452C5" w14:textId="3D7343E2" w:rsidR="00F35391" w:rsidRDefault="00F35391" w:rsidP="00F35391">
    <w:pPr>
      <w:pStyle w:val="Footer"/>
    </w:pPr>
  </w:p>
  <w:p w14:paraId="44BB1275" w14:textId="7F5E7C35" w:rsidR="00C57AAF" w:rsidRDefault="00C57AAF">
    <w:pPr>
      <w:rPr>
        <w:rFonts w:ascii="Roboto" w:eastAsia="Roboto" w:hAnsi="Roboto" w:cs="Roboto"/>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E9ED" w14:textId="77777777" w:rsidR="00EC57AD" w:rsidRDefault="00EC57AD">
      <w:bookmarkStart w:id="0" w:name="_Hlk65050907"/>
      <w:bookmarkEnd w:id="0"/>
      <w:r>
        <w:separator/>
      </w:r>
    </w:p>
  </w:footnote>
  <w:footnote w:type="continuationSeparator" w:id="0">
    <w:p w14:paraId="6E318911" w14:textId="77777777" w:rsidR="00EC57AD" w:rsidRDefault="00EC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4A0" w:firstRow="1" w:lastRow="0" w:firstColumn="1" w:lastColumn="0" w:noHBand="0" w:noVBand="1"/>
    </w:tblPr>
    <w:tblGrid>
      <w:gridCol w:w="1695"/>
      <w:gridCol w:w="5388"/>
      <w:gridCol w:w="2314"/>
    </w:tblGrid>
    <w:tr w:rsidR="00067E5E" w14:paraId="69ECFE91" w14:textId="77777777" w:rsidTr="00067E5E">
      <w:trPr>
        <w:trHeight w:val="423"/>
      </w:trPr>
      <w:tc>
        <w:tcPr>
          <w:tcW w:w="902" w:type="pct"/>
          <w:vMerge w:val="restart"/>
        </w:tcPr>
        <w:p w14:paraId="0A426623" w14:textId="6548BAFE" w:rsidR="00067E5E" w:rsidRDefault="00067E5E" w:rsidP="00067E5E">
          <w:pPr>
            <w:tabs>
              <w:tab w:val="center" w:pos="4252"/>
              <w:tab w:val="right" w:pos="8504"/>
            </w:tabs>
            <w:jc w:val="center"/>
            <w:rPr>
              <w:rFonts w:ascii="Arial Narrow" w:eastAsia="Arial Narrow" w:hAnsi="Arial Narrow" w:cs="Arial Narrow"/>
            </w:rPr>
          </w:pPr>
          <w:r w:rsidRPr="00A74A8D">
            <w:rPr>
              <w:rFonts w:ascii="Nimbus Roman No9 L" w:hAnsi="Nimbus Roman No9 L" w:cs="Liberation Serif"/>
              <w:noProof/>
              <w:color w:val="00000A"/>
              <w:sz w:val="24"/>
              <w:szCs w:val="24"/>
            </w:rPr>
            <w:drawing>
              <wp:inline distT="0" distB="0" distL="0" distR="0" wp14:anchorId="323A9C7C" wp14:editId="0D91FE57">
                <wp:extent cx="628650" cy="6953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c>
      <w:tc>
        <w:tcPr>
          <w:tcW w:w="2867" w:type="pct"/>
          <w:vMerge w:val="restart"/>
          <w:vAlign w:val="center"/>
        </w:tcPr>
        <w:p w14:paraId="432FEFC8" w14:textId="38A8B8A6" w:rsidR="00067E5E" w:rsidRPr="00F35391" w:rsidRDefault="00067E5E" w:rsidP="008F674E">
          <w:pPr>
            <w:spacing w:before="100" w:beforeAutospacing="1" w:after="119"/>
            <w:jc w:val="center"/>
            <w:rPr>
              <w:rFonts w:ascii="Arial" w:hAnsi="Arial" w:cs="Arial"/>
              <w:b/>
              <w:bCs/>
              <w:color w:val="000000"/>
            </w:rPr>
          </w:pPr>
          <w:r w:rsidRPr="00F35391">
            <w:rPr>
              <w:rFonts w:ascii="Arial" w:hAnsi="Arial" w:cs="Arial"/>
              <w:b/>
              <w:bCs/>
              <w:color w:val="000000"/>
            </w:rPr>
            <w:t>ESQUEMA DE ACOMPAÑAMIENTO</w:t>
          </w:r>
        </w:p>
        <w:p w14:paraId="527D22F7" w14:textId="77777777" w:rsidR="008F674E" w:rsidRDefault="00067E5E" w:rsidP="008F674E">
          <w:pPr>
            <w:tabs>
              <w:tab w:val="center" w:pos="4252"/>
              <w:tab w:val="right" w:pos="8504"/>
            </w:tabs>
            <w:spacing w:line="360" w:lineRule="auto"/>
            <w:jc w:val="both"/>
            <w:rPr>
              <w:rFonts w:ascii="Arial" w:hAnsi="Arial" w:cs="Arial"/>
              <w:b/>
              <w:bCs/>
              <w:color w:val="000000"/>
            </w:rPr>
          </w:pPr>
          <w:r w:rsidRPr="00F35391">
            <w:rPr>
              <w:rFonts w:ascii="Arial" w:hAnsi="Arial" w:cs="Arial"/>
              <w:b/>
              <w:bCs/>
              <w:color w:val="000000"/>
            </w:rPr>
            <w:t>CONCEPTO FONDOS DE DESARROLLO LOCAL</w:t>
          </w:r>
        </w:p>
        <w:p w14:paraId="305509A2" w14:textId="3797B811" w:rsidR="008F674E" w:rsidRPr="008F674E" w:rsidRDefault="008F674E" w:rsidP="008F674E">
          <w:pPr>
            <w:tabs>
              <w:tab w:val="center" w:pos="4252"/>
              <w:tab w:val="right" w:pos="8504"/>
            </w:tabs>
            <w:spacing w:line="360" w:lineRule="auto"/>
            <w:jc w:val="center"/>
            <w:rPr>
              <w:rFonts w:ascii="Arial" w:hAnsi="Arial" w:cs="Arial"/>
              <w:b/>
              <w:bCs/>
              <w:color w:val="000000"/>
            </w:rPr>
          </w:pPr>
          <w:r>
            <w:rPr>
              <w:rFonts w:ascii="Arial" w:hAnsi="Arial" w:cs="Arial"/>
              <w:b/>
              <w:bCs/>
              <w:color w:val="000000"/>
            </w:rPr>
            <w:t>(ANEXO 1)</w:t>
          </w:r>
        </w:p>
      </w:tc>
      <w:tc>
        <w:tcPr>
          <w:tcW w:w="1231" w:type="pct"/>
        </w:tcPr>
        <w:p w14:paraId="495F592D" w14:textId="146B2C1A" w:rsidR="00067E5E" w:rsidRDefault="00067E5E" w:rsidP="00067E5E">
          <w:pPr>
            <w:tabs>
              <w:tab w:val="center" w:pos="4252"/>
              <w:tab w:val="right" w:pos="8504"/>
            </w:tabs>
            <w:jc w:val="both"/>
            <w:rPr>
              <w:rFonts w:ascii="Arial Narrow" w:eastAsia="Arial Narrow" w:hAnsi="Arial Narrow" w:cs="Arial Narrow"/>
            </w:rPr>
          </w:pPr>
          <w:r w:rsidRPr="00A74A8D">
            <w:rPr>
              <w:rFonts w:ascii="Arial" w:hAnsi="Arial" w:cs="Arial"/>
              <w:color w:val="00000A"/>
              <w:sz w:val="16"/>
              <w:szCs w:val="16"/>
            </w:rPr>
            <w:t>CÓDIGO: FR-0</w:t>
          </w:r>
          <w:r>
            <w:rPr>
              <w:rFonts w:ascii="Arial" w:hAnsi="Arial" w:cs="Arial"/>
              <w:color w:val="00000A"/>
              <w:sz w:val="16"/>
              <w:szCs w:val="16"/>
            </w:rPr>
            <w:t>5</w:t>
          </w:r>
          <w:r w:rsidRPr="00A74A8D">
            <w:rPr>
              <w:rFonts w:ascii="Arial" w:hAnsi="Arial" w:cs="Arial"/>
              <w:color w:val="00000A"/>
              <w:sz w:val="16"/>
              <w:szCs w:val="16"/>
            </w:rPr>
            <w:t>-PR-PDS-01</w:t>
          </w:r>
        </w:p>
      </w:tc>
    </w:tr>
    <w:tr w:rsidR="00067E5E" w14:paraId="2DF3707E" w14:textId="77777777" w:rsidTr="00067E5E">
      <w:trPr>
        <w:trHeight w:val="355"/>
      </w:trPr>
      <w:tc>
        <w:tcPr>
          <w:tcW w:w="902" w:type="pct"/>
          <w:vMerge/>
        </w:tcPr>
        <w:p w14:paraId="43EEFE1B" w14:textId="77777777" w:rsidR="00067E5E" w:rsidRDefault="00067E5E" w:rsidP="00067E5E">
          <w:pPr>
            <w:tabs>
              <w:tab w:val="center" w:pos="4252"/>
              <w:tab w:val="right" w:pos="8504"/>
            </w:tabs>
            <w:jc w:val="both"/>
            <w:rPr>
              <w:rFonts w:ascii="Arial Narrow" w:eastAsia="Arial Narrow" w:hAnsi="Arial Narrow" w:cs="Arial Narrow"/>
            </w:rPr>
          </w:pPr>
        </w:p>
      </w:tc>
      <w:tc>
        <w:tcPr>
          <w:tcW w:w="2867" w:type="pct"/>
          <w:vMerge/>
        </w:tcPr>
        <w:p w14:paraId="42972E32" w14:textId="77777777" w:rsidR="00067E5E" w:rsidRDefault="00067E5E" w:rsidP="00067E5E">
          <w:pPr>
            <w:tabs>
              <w:tab w:val="center" w:pos="4252"/>
              <w:tab w:val="right" w:pos="8504"/>
            </w:tabs>
            <w:jc w:val="both"/>
            <w:rPr>
              <w:rFonts w:ascii="Arial Narrow" w:eastAsia="Arial Narrow" w:hAnsi="Arial Narrow" w:cs="Arial Narrow"/>
            </w:rPr>
          </w:pPr>
        </w:p>
      </w:tc>
      <w:tc>
        <w:tcPr>
          <w:tcW w:w="1231" w:type="pct"/>
        </w:tcPr>
        <w:p w14:paraId="3CD40C94" w14:textId="34EE1D04" w:rsidR="00067E5E" w:rsidRDefault="00067E5E" w:rsidP="00067E5E">
          <w:pPr>
            <w:tabs>
              <w:tab w:val="center" w:pos="4252"/>
              <w:tab w:val="right" w:pos="8504"/>
            </w:tabs>
            <w:jc w:val="both"/>
            <w:rPr>
              <w:rFonts w:ascii="Arial Narrow" w:eastAsia="Arial Narrow" w:hAnsi="Arial Narrow" w:cs="Arial Narrow"/>
            </w:rPr>
          </w:pPr>
          <w:r w:rsidRPr="00A74A8D">
            <w:rPr>
              <w:rFonts w:ascii="Arial" w:hAnsi="Arial" w:cs="Arial"/>
              <w:color w:val="00000A"/>
              <w:sz w:val="16"/>
              <w:szCs w:val="16"/>
            </w:rPr>
            <w:t xml:space="preserve">VERSIÓN: </w:t>
          </w:r>
          <w:r w:rsidR="00DE267E">
            <w:rPr>
              <w:rFonts w:ascii="Arial" w:hAnsi="Arial" w:cs="Arial"/>
              <w:color w:val="00000A"/>
              <w:sz w:val="16"/>
              <w:szCs w:val="16"/>
            </w:rPr>
            <w:t>01</w:t>
          </w:r>
        </w:p>
      </w:tc>
    </w:tr>
    <w:tr w:rsidR="00067E5E" w14:paraId="4E0F9094" w14:textId="77777777" w:rsidTr="00067E5E">
      <w:tc>
        <w:tcPr>
          <w:tcW w:w="902" w:type="pct"/>
          <w:vMerge/>
        </w:tcPr>
        <w:p w14:paraId="6F2F6CBC" w14:textId="77777777" w:rsidR="00067E5E" w:rsidRDefault="00067E5E" w:rsidP="00067E5E">
          <w:pPr>
            <w:tabs>
              <w:tab w:val="center" w:pos="4252"/>
              <w:tab w:val="right" w:pos="8504"/>
            </w:tabs>
            <w:jc w:val="both"/>
            <w:rPr>
              <w:rFonts w:ascii="Arial Narrow" w:eastAsia="Arial Narrow" w:hAnsi="Arial Narrow" w:cs="Arial Narrow"/>
            </w:rPr>
          </w:pPr>
        </w:p>
      </w:tc>
      <w:tc>
        <w:tcPr>
          <w:tcW w:w="2867" w:type="pct"/>
          <w:vMerge/>
        </w:tcPr>
        <w:p w14:paraId="096B55C5" w14:textId="77777777" w:rsidR="00067E5E" w:rsidRDefault="00067E5E" w:rsidP="00067E5E">
          <w:pPr>
            <w:tabs>
              <w:tab w:val="center" w:pos="4252"/>
              <w:tab w:val="right" w:pos="8504"/>
            </w:tabs>
            <w:jc w:val="both"/>
            <w:rPr>
              <w:rFonts w:ascii="Arial Narrow" w:eastAsia="Arial Narrow" w:hAnsi="Arial Narrow" w:cs="Arial Narrow"/>
            </w:rPr>
          </w:pPr>
        </w:p>
      </w:tc>
      <w:tc>
        <w:tcPr>
          <w:tcW w:w="1231" w:type="pct"/>
        </w:tcPr>
        <w:p w14:paraId="75C62893" w14:textId="081C46FB" w:rsidR="00067E5E" w:rsidRDefault="00067E5E" w:rsidP="00067E5E">
          <w:pPr>
            <w:tabs>
              <w:tab w:val="center" w:pos="4252"/>
              <w:tab w:val="right" w:pos="8504"/>
            </w:tabs>
            <w:jc w:val="both"/>
            <w:rPr>
              <w:rFonts w:ascii="Arial Narrow" w:eastAsia="Arial Narrow" w:hAnsi="Arial Narrow" w:cs="Arial Narrow"/>
            </w:rPr>
          </w:pPr>
          <w:r w:rsidRPr="00A74A8D">
            <w:rPr>
              <w:rFonts w:ascii="Arial" w:hAnsi="Arial" w:cs="Arial"/>
              <w:color w:val="00000A"/>
              <w:sz w:val="16"/>
              <w:szCs w:val="16"/>
            </w:rPr>
            <w:t xml:space="preserve">FECHA: </w:t>
          </w:r>
          <w:r w:rsidR="005C5400">
            <w:rPr>
              <w:rFonts w:ascii="Arial" w:hAnsi="Arial" w:cs="Arial"/>
              <w:color w:val="00000A"/>
              <w:sz w:val="16"/>
              <w:szCs w:val="16"/>
            </w:rPr>
            <w:t>12</w:t>
          </w:r>
          <w:r w:rsidR="00DE267E">
            <w:rPr>
              <w:rFonts w:ascii="Arial" w:hAnsi="Arial" w:cs="Arial"/>
              <w:color w:val="00000A"/>
              <w:sz w:val="16"/>
              <w:szCs w:val="16"/>
            </w:rPr>
            <w:t>/0</w:t>
          </w:r>
          <w:r w:rsidR="005C5400">
            <w:rPr>
              <w:rFonts w:ascii="Arial" w:hAnsi="Arial" w:cs="Arial"/>
              <w:color w:val="00000A"/>
              <w:sz w:val="16"/>
              <w:szCs w:val="16"/>
            </w:rPr>
            <w:t>3</w:t>
          </w:r>
          <w:r w:rsidR="00DE267E">
            <w:rPr>
              <w:rFonts w:ascii="Arial" w:hAnsi="Arial" w:cs="Arial"/>
              <w:color w:val="00000A"/>
              <w:sz w:val="16"/>
              <w:szCs w:val="16"/>
            </w:rPr>
            <w:t>/2021</w:t>
          </w:r>
        </w:p>
      </w:tc>
    </w:tr>
  </w:tbl>
  <w:p w14:paraId="6A5DB18D" w14:textId="77777777" w:rsidR="00C57AAF" w:rsidRDefault="00C57AAF">
    <w:pPr>
      <w:pBdr>
        <w:top w:val="nil"/>
        <w:left w:val="nil"/>
        <w:bottom w:val="nil"/>
        <w:right w:val="nil"/>
        <w:between w:val="nil"/>
      </w:pBdr>
      <w:tabs>
        <w:tab w:val="center" w:pos="4252"/>
        <w:tab w:val="right" w:pos="8504"/>
      </w:tabs>
      <w:jc w:val="both"/>
      <w:rPr>
        <w:rFonts w:ascii="Arial Narrow" w:eastAsia="Arial Narrow" w:hAnsi="Arial Narrow" w:cs="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D98"/>
    <w:multiLevelType w:val="multilevel"/>
    <w:tmpl w:val="470AD7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AF"/>
    <w:rsid w:val="00025106"/>
    <w:rsid w:val="00067E5E"/>
    <w:rsid w:val="00080E09"/>
    <w:rsid w:val="000B7357"/>
    <w:rsid w:val="000D5B0E"/>
    <w:rsid w:val="000F322E"/>
    <w:rsid w:val="00126A07"/>
    <w:rsid w:val="002D4E5E"/>
    <w:rsid w:val="00392251"/>
    <w:rsid w:val="005C5400"/>
    <w:rsid w:val="005D5596"/>
    <w:rsid w:val="006F1703"/>
    <w:rsid w:val="00723858"/>
    <w:rsid w:val="00765A50"/>
    <w:rsid w:val="008F674E"/>
    <w:rsid w:val="00982D17"/>
    <w:rsid w:val="00A95325"/>
    <w:rsid w:val="00AF7B69"/>
    <w:rsid w:val="00B149BD"/>
    <w:rsid w:val="00B312DD"/>
    <w:rsid w:val="00B765C9"/>
    <w:rsid w:val="00C57AAF"/>
    <w:rsid w:val="00D21009"/>
    <w:rsid w:val="00DE267E"/>
    <w:rsid w:val="00EC57AD"/>
    <w:rsid w:val="00F353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4D994"/>
  <w15:docId w15:val="{47059AD4-0D69-43D2-92ED-689C46A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480" w:lineRule="auto"/>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jc w:val="both"/>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jc w:val="both"/>
      <w:outlineLvl w:val="4"/>
    </w:pPr>
    <w:rPr>
      <w:b/>
      <w:sz w:val="12"/>
      <w:szCs w:val="12"/>
    </w:rPr>
  </w:style>
  <w:style w:type="paragraph" w:styleId="Heading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widowControl w:val="0"/>
      <w:jc w:val="center"/>
    </w:pPr>
    <w:rPr>
      <w:rFonts w:ascii="Arial" w:eastAsia="Arial" w:hAnsi="Arial" w:cs="Arial"/>
      <w:b/>
      <w:sz w:val="24"/>
      <w:szCs w:val="24"/>
    </w:rPr>
  </w:style>
  <w:style w:type="paragraph" w:styleId="Subtitle">
    <w:name w:val="Subtitle"/>
    <w:basedOn w:val="Normal"/>
    <w:next w:val="Normal"/>
    <w:uiPriority w:val="11"/>
    <w:qFormat/>
    <w:pPr>
      <w:jc w:val="center"/>
    </w:pPr>
    <w:rPr>
      <w:color w:val="3366FF"/>
      <w:sz w:val="28"/>
      <w:szCs w:val="2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126A07"/>
    <w:pPr>
      <w:tabs>
        <w:tab w:val="center" w:pos="4419"/>
        <w:tab w:val="right" w:pos="8838"/>
      </w:tabs>
    </w:pPr>
  </w:style>
  <w:style w:type="character" w:customStyle="1" w:styleId="HeaderChar">
    <w:name w:val="Header Char"/>
    <w:basedOn w:val="DefaultParagraphFont"/>
    <w:link w:val="Header"/>
    <w:uiPriority w:val="99"/>
    <w:rsid w:val="00126A07"/>
  </w:style>
  <w:style w:type="paragraph" w:styleId="Footer">
    <w:name w:val="footer"/>
    <w:basedOn w:val="Normal"/>
    <w:link w:val="FooterChar"/>
    <w:unhideWhenUsed/>
    <w:qFormat/>
    <w:rsid w:val="00126A07"/>
    <w:pPr>
      <w:tabs>
        <w:tab w:val="center" w:pos="4419"/>
        <w:tab w:val="right" w:pos="8838"/>
      </w:tabs>
    </w:pPr>
  </w:style>
  <w:style w:type="character" w:customStyle="1" w:styleId="FooterChar">
    <w:name w:val="Footer Char"/>
    <w:basedOn w:val="DefaultParagraphFont"/>
    <w:link w:val="Footer"/>
    <w:uiPriority w:val="99"/>
    <w:rsid w:val="00126A07"/>
  </w:style>
  <w:style w:type="table" w:styleId="TableGrid">
    <w:name w:val="Table Grid"/>
    <w:basedOn w:val="TableNormal"/>
    <w:uiPriority w:val="39"/>
    <w:rsid w:val="0006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606</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CR</dc:creator>
  <cp:lastModifiedBy>Johanna Cendales</cp:lastModifiedBy>
  <cp:revision>8</cp:revision>
  <dcterms:created xsi:type="dcterms:W3CDTF">2021-02-24T13:52:00Z</dcterms:created>
  <dcterms:modified xsi:type="dcterms:W3CDTF">2021-03-05T13:13:00Z</dcterms:modified>
</cp:coreProperties>
</file>