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theme/theme1.xml" ContentType="application/vnd.openxmlformats-officedocument.theme+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numPr>
          <w:ilvl w:val="0"/>
          <w:numId w:val="0"/>
        </w:numPr>
        <w:spacing w:before="0" w:after="0"/>
        <w:jc w:val="center"/>
        <w:outlineLvl w:val="0"/>
        <w:rPr/>
      </w:pPr>
      <w:r>
        <w:fldChar w:fldCharType="begin"/>
      </w:r>
      <w:r>
        <w:instrText> TC "8. CÁLCULO DE RESERVAS PRESUPUESTALES 2014" \l 1 </w:instrText>
      </w:r>
      <w:r>
        <w:fldChar w:fldCharType="separate"/>
      </w:r>
      <w:r>
        <w:rPr/>
      </w:r>
      <w:r>
        <w:fldChar w:fldCharType="end"/>
      </w:r>
      <w:r>
        <w:rPr>
          <w:b/>
          <w:sz w:val="22"/>
          <w:szCs w:val="22"/>
        </w:rPr>
        <w:t>CÁLCULO DE RESERVAS PRESUPUESTALES 2016</w:t>
      </w:r>
      <w:r>
        <w:fldChar w:fldCharType="begin"/>
      </w:r>
      <w:r>
        <w:instrText> XE "8. CÁLCULO DE RESERVAS PRESUPUESTALES 2014: : : : " </w:instrText>
      </w:r>
      <w:r>
        <w:fldChar w:fldCharType="separate"/>
      </w:r>
      <w:r>
        <w:rPr>
          <w:b/>
          <w:sz w:val="22"/>
          <w:szCs w:val="22"/>
        </w:rPr>
      </w:r>
      <w:r>
        <w:fldChar w:fldCharType="end"/>
      </w:r>
    </w:p>
    <w:p>
      <w:pPr>
        <w:pStyle w:val="Cuerpodetexto"/>
        <w:spacing w:before="0" w:after="0"/>
        <w:jc w:val="both"/>
        <w:rPr>
          <w:rFonts w:eastAsia="Times New Roman"/>
          <w:sz w:val="22"/>
          <w:szCs w:val="22"/>
          <w:shd w:fill="E6FF00" w:val="clear"/>
          <w:lang w:eastAsia="ar-SA"/>
        </w:rPr>
      </w:pPr>
      <w:r>
        <w:rPr>
          <w:rFonts w:eastAsia="Times New Roman"/>
          <w:sz w:val="22"/>
          <w:szCs w:val="22"/>
          <w:shd w:fill="E6FF00" w:val="clear"/>
          <w:lang w:eastAsia="ar-SA"/>
        </w:rPr>
      </w:r>
    </w:p>
    <w:p>
      <w:pPr>
        <w:pStyle w:val="Cuerpodetexto"/>
        <w:spacing w:before="0" w:after="0"/>
        <w:jc w:val="both"/>
        <w:rPr>
          <w:rFonts w:eastAsia="Times New Roman"/>
          <w:sz w:val="22"/>
          <w:szCs w:val="22"/>
          <w:lang w:eastAsia="ar-SA"/>
        </w:rPr>
      </w:pPr>
      <w:r>
        <w:rPr>
          <w:rFonts w:eastAsia="Times New Roman"/>
          <w:sz w:val="22"/>
          <w:szCs w:val="22"/>
          <w:lang w:eastAsia="ar-SA"/>
        </w:rPr>
        <w:t>La Secretaria de Cultura, Recreación y Deporte, con base en los análisis de su comportamiento de las diferentes obligaciones derivadas de los  contratos vigentes, proyectó que al cierre de la presente vigencia fiscal se constituyan reservas presupuestales por un monto de $6.464,7 millones aproximadamente, distribuidos de la siguiente manera:</w:t>
      </w:r>
    </w:p>
    <w:p>
      <w:pPr>
        <w:pStyle w:val="Cuerpodetexto"/>
        <w:spacing w:before="0" w:after="0"/>
        <w:jc w:val="both"/>
        <w:rPr>
          <w:rFonts w:eastAsia="Times New Roman"/>
          <w:sz w:val="22"/>
          <w:szCs w:val="22"/>
          <w:lang w:eastAsia="ar-SA"/>
        </w:rPr>
      </w:pPr>
      <w:r>
        <w:rPr>
          <w:rFonts w:eastAsia="Times New Roman"/>
          <w:sz w:val="22"/>
          <w:szCs w:val="22"/>
          <w:lang w:eastAsia="ar-SA"/>
        </w:rPr>
      </w:r>
    </w:p>
    <w:p>
      <w:pPr>
        <w:pStyle w:val="Cuerpodetexto"/>
        <w:spacing w:before="0" w:after="0"/>
        <w:jc w:val="both"/>
        <w:rPr>
          <w:rFonts w:eastAsia="Times New Roman"/>
          <w:sz w:val="22"/>
          <w:szCs w:val="22"/>
          <w:lang w:eastAsia="ar-SA"/>
        </w:rPr>
      </w:pPr>
      <w:r>
        <w:rPr>
          <w:rFonts w:eastAsia="Times New Roman"/>
          <w:sz w:val="22"/>
          <w:szCs w:val="22"/>
          <w:lang w:eastAsia="ar-SA"/>
        </w:rPr>
      </w:r>
    </w:p>
    <w:p>
      <w:pPr>
        <w:pStyle w:val="Cuerpodetexto"/>
        <w:spacing w:before="0" w:after="0"/>
        <w:jc w:val="both"/>
        <w:rPr>
          <w:rFonts w:eastAsia="Times New Roman"/>
          <w:sz w:val="22"/>
          <w:szCs w:val="22"/>
          <w:lang w:eastAsia="ar-SA"/>
        </w:rPr>
      </w:pPr>
      <w:r>
        <w:rPr>
          <w:rFonts w:eastAsia="Times New Roman"/>
          <w:sz w:val="22"/>
          <w:szCs w:val="22"/>
          <w:lang w:eastAsia="ar-SA"/>
        </w:rPr>
        <mc:AlternateContent>
          <mc:Choice Requires="wps">
            <w:drawing>
              <wp:anchor behindDoc="0" distT="0" distB="0" distL="89535" distR="89535" simplePos="0" locked="0" layoutInCell="1" allowOverlap="1" relativeHeight="2">
                <wp:simplePos x="0" y="0"/>
                <wp:positionH relativeFrom="margin">
                  <wp:align>center</wp:align>
                </wp:positionH>
                <wp:positionV relativeFrom="paragraph">
                  <wp:posOffset>11430</wp:posOffset>
                </wp:positionV>
                <wp:extent cx="3497580" cy="827405"/>
                <wp:effectExtent l="0" t="0" r="0" b="0"/>
                <wp:wrapSquare wrapText="bothSides"/>
                <wp:docPr id="1" name="Marco1"/>
                <a:graphic xmlns:a="http://schemas.openxmlformats.org/drawingml/2006/main">
                  <a:graphicData uri="http://schemas.microsoft.com/office/word/2010/wordprocessingShape">
                    <wps:wsp>
                      <wps:cNvSpPr/>
                      <wps:spPr>
                        <a:xfrm>
                          <a:off x="0" y="0"/>
                          <a:ext cx="3497040" cy="826920"/>
                        </a:xfrm>
                        <a:prstGeom prst="rect">
                          <a:avLst/>
                        </a:prstGeom>
                        <a:noFill/>
                        <a:ln>
                          <a:noFill/>
                        </a:ln>
                      </wps:spPr>
                      <wps:style>
                        <a:lnRef idx="0"/>
                        <a:fillRef idx="0"/>
                        <a:effectRef idx="0"/>
                        <a:fontRef idx="minor"/>
                      </wps:style>
                      <wps:txbx>
                        <w:txbxContent>
                          <w:tbl>
                            <w:tblPr>
                              <w:tblW w:w="5507"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16" w:type="dxa"/>
                                <w:bottom w:w="28" w:type="dxa"/>
                                <w:right w:w="28" w:type="dxa"/>
                              </w:tblCellMar>
                              <w:tblLook w:val="04a0" w:noVBand="1" w:noHBand="0" w:lastColumn="0" w:firstColumn="1" w:lastRow="0" w:firstRow="1"/>
                            </w:tblPr>
                            <w:tblGrid>
                              <w:gridCol w:w="2140"/>
                              <w:gridCol w:w="2271"/>
                              <w:gridCol w:w="1096"/>
                            </w:tblGrid>
                            <w:tr>
                              <w:trPr>
                                <w:trHeight w:val="341" w:hRule="atLeast"/>
                              </w:trPr>
                              <w:tc>
                                <w:tcPr>
                                  <w:tcW w:w="21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center"/>
                                    <w:rPr/>
                                  </w:pPr>
                                  <w:r>
                                    <w:rPr>
                                      <w:b/>
                                      <w:color w:val="000000"/>
                                      <w:sz w:val="22"/>
                                      <w:szCs w:val="22"/>
                                    </w:rPr>
                                    <w:t>Funcionamiento</w:t>
                                  </w:r>
                                </w:p>
                              </w:tc>
                              <w:tc>
                                <w:tcPr>
                                  <w:tcW w:w="22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right"/>
                                    <w:rPr/>
                                  </w:pPr>
                                  <w:r>
                                    <w:rPr>
                                      <w:color w:val="000000"/>
                                      <w:sz w:val="22"/>
                                      <w:szCs w:val="22"/>
                                    </w:rPr>
                                    <w:t>387.514.433</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right"/>
                                    <w:rPr/>
                                  </w:pPr>
                                  <w:r>
                                    <w:rPr>
                                      <w:color w:val="000000"/>
                                      <w:sz w:val="22"/>
                                      <w:szCs w:val="22"/>
                                    </w:rPr>
                                    <w:t>6%</w:t>
                                  </w:r>
                                </w:p>
                              </w:tc>
                            </w:tr>
                            <w:tr>
                              <w:trPr>
                                <w:trHeight w:val="341" w:hRule="atLeast"/>
                              </w:trPr>
                              <w:tc>
                                <w:tcPr>
                                  <w:tcW w:w="21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center"/>
                                    <w:rPr/>
                                  </w:pPr>
                                  <w:r>
                                    <w:rPr>
                                      <w:b/>
                                      <w:color w:val="000000"/>
                                      <w:sz w:val="22"/>
                                      <w:szCs w:val="22"/>
                                    </w:rPr>
                                    <w:t>Inversión</w:t>
                                  </w:r>
                                </w:p>
                              </w:tc>
                              <w:tc>
                                <w:tcPr>
                                  <w:tcW w:w="22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right"/>
                                    <w:rPr/>
                                  </w:pPr>
                                  <w:r>
                                    <w:rPr>
                                      <w:color w:val="000000"/>
                                      <w:sz w:val="22"/>
                                      <w:szCs w:val="22"/>
                                    </w:rPr>
                                    <w:t>6.077.282.076</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right"/>
                                    <w:rPr/>
                                  </w:pPr>
                                  <w:r>
                                    <w:rPr>
                                      <w:color w:val="000000"/>
                                      <w:sz w:val="22"/>
                                      <w:szCs w:val="22"/>
                                    </w:rPr>
                                    <w:t>94%</w:t>
                                  </w:r>
                                </w:p>
                              </w:tc>
                            </w:tr>
                            <w:tr>
                              <w:trPr>
                                <w:trHeight w:val="341" w:hRule="atLeast"/>
                              </w:trPr>
                              <w:tc>
                                <w:tcPr>
                                  <w:tcW w:w="21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center"/>
                                    <w:rPr/>
                                  </w:pPr>
                                  <w:bookmarkStart w:id="0" w:name="__UnoMark__136_562239365"/>
                                  <w:bookmarkStart w:id="1" w:name="__UnoMark__135_562239365"/>
                                  <w:bookmarkEnd w:id="0"/>
                                  <w:bookmarkEnd w:id="1"/>
                                  <w:r>
                                    <w:rPr>
                                      <w:b/>
                                      <w:color w:val="000000"/>
                                      <w:sz w:val="22"/>
                                      <w:szCs w:val="22"/>
                                    </w:rPr>
                                    <w:t>Total</w:t>
                                  </w:r>
                                </w:p>
                              </w:tc>
                              <w:tc>
                                <w:tcPr>
                                  <w:tcW w:w="22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right"/>
                                    <w:rPr/>
                                  </w:pPr>
                                  <w:bookmarkStart w:id="2" w:name="__UnoMark__138_562239365"/>
                                  <w:bookmarkStart w:id="3" w:name="__UnoMark__137_562239365"/>
                                  <w:bookmarkEnd w:id="2"/>
                                  <w:bookmarkEnd w:id="3"/>
                                  <w:r>
                                    <w:rPr>
                                      <w:b/>
                                      <w:color w:val="000000"/>
                                      <w:sz w:val="22"/>
                                      <w:szCs w:val="22"/>
                                    </w:rPr>
                                    <w:t>6.464.796.509</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right"/>
                                    <w:rPr/>
                                  </w:pPr>
                                  <w:bookmarkStart w:id="4" w:name="__UnoMark__139_562239365"/>
                                  <w:bookmarkEnd w:id="4"/>
                                  <w:r>
                                    <w:rPr>
                                      <w:b/>
                                      <w:color w:val="000000"/>
                                      <w:sz w:val="22"/>
                                      <w:szCs w:val="22"/>
                                    </w:rPr>
                                    <w:t>100.0%</w:t>
                                  </w:r>
                                </w:p>
                              </w:tc>
                            </w:tr>
                          </w:tbl>
                          <w:p>
                            <w:pPr>
                              <w:pStyle w:val="Contenidodelmarco"/>
                              <w:spacing w:before="0" w:after="120"/>
                              <w:rPr>
                                <w:color w:val="auto"/>
                              </w:rPr>
                            </w:pPr>
                            <w:r>
                              <w:rPr>
                                <w:color w:val="auto"/>
                              </w:rPr>
                            </w:r>
                          </w:p>
                        </w:txbxContent>
                      </wps:txbx>
                      <wps:bodyPr lIns="0" rIns="0" tIns="0" bIns="0">
                        <a:spAutoFit/>
                      </wps:bodyPr>
                    </wps:wsp>
                  </a:graphicData>
                </a:graphic>
              </wp:anchor>
            </w:drawing>
          </mc:Choice>
          <mc:Fallback>
            <w:pict>
              <v:rect id="shape_0" ID="Marco1" stroked="f" style="position:absolute;margin-left:97.4pt;margin-top:0.9pt;width:275.3pt;height:65.05pt;mso-position-horizontal:center;mso-position-horizontal-relative:margin">
                <w10:wrap type="none"/>
                <v:fill o:detectmouseclick="t" on="false"/>
                <v:stroke color="#3465a4" joinstyle="round" endcap="flat"/>
                <v:textbox>
                  <w:txbxContent>
                    <w:tbl>
                      <w:tblPr>
                        <w:tblW w:w="5507" w:type="dxa"/>
                        <w:jc w:val="center"/>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28" w:type="dxa"/>
                          <w:left w:w="16" w:type="dxa"/>
                          <w:bottom w:w="28" w:type="dxa"/>
                          <w:right w:w="28" w:type="dxa"/>
                        </w:tblCellMar>
                        <w:tblLook w:val="04a0" w:noVBand="1" w:noHBand="0" w:lastColumn="0" w:firstColumn="1" w:lastRow="0" w:firstRow="1"/>
                      </w:tblPr>
                      <w:tblGrid>
                        <w:gridCol w:w="2140"/>
                        <w:gridCol w:w="2271"/>
                        <w:gridCol w:w="1096"/>
                      </w:tblGrid>
                      <w:tr>
                        <w:trPr>
                          <w:trHeight w:val="341" w:hRule="atLeast"/>
                        </w:trPr>
                        <w:tc>
                          <w:tcPr>
                            <w:tcW w:w="21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center"/>
                              <w:rPr/>
                            </w:pPr>
                            <w:r>
                              <w:rPr>
                                <w:b/>
                                <w:color w:val="000000"/>
                                <w:sz w:val="22"/>
                                <w:szCs w:val="22"/>
                              </w:rPr>
                              <w:t>Funcionamiento</w:t>
                            </w:r>
                          </w:p>
                        </w:tc>
                        <w:tc>
                          <w:tcPr>
                            <w:tcW w:w="22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right"/>
                              <w:rPr/>
                            </w:pPr>
                            <w:r>
                              <w:rPr>
                                <w:color w:val="000000"/>
                                <w:sz w:val="22"/>
                                <w:szCs w:val="22"/>
                              </w:rPr>
                              <w:t>387.514.433</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right"/>
                              <w:rPr/>
                            </w:pPr>
                            <w:r>
                              <w:rPr>
                                <w:color w:val="000000"/>
                                <w:sz w:val="22"/>
                                <w:szCs w:val="22"/>
                              </w:rPr>
                              <w:t>6%</w:t>
                            </w:r>
                          </w:p>
                        </w:tc>
                      </w:tr>
                      <w:tr>
                        <w:trPr>
                          <w:trHeight w:val="341" w:hRule="atLeast"/>
                        </w:trPr>
                        <w:tc>
                          <w:tcPr>
                            <w:tcW w:w="21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center"/>
                              <w:rPr/>
                            </w:pPr>
                            <w:r>
                              <w:rPr>
                                <w:b/>
                                <w:color w:val="000000"/>
                                <w:sz w:val="22"/>
                                <w:szCs w:val="22"/>
                              </w:rPr>
                              <w:t>Inversión</w:t>
                            </w:r>
                          </w:p>
                        </w:tc>
                        <w:tc>
                          <w:tcPr>
                            <w:tcW w:w="22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right"/>
                              <w:rPr/>
                            </w:pPr>
                            <w:r>
                              <w:rPr>
                                <w:color w:val="000000"/>
                                <w:sz w:val="22"/>
                                <w:szCs w:val="22"/>
                              </w:rPr>
                              <w:t>6.077.282.076</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right"/>
                              <w:rPr/>
                            </w:pPr>
                            <w:r>
                              <w:rPr>
                                <w:color w:val="000000"/>
                                <w:sz w:val="22"/>
                                <w:szCs w:val="22"/>
                              </w:rPr>
                              <w:t>94%</w:t>
                            </w:r>
                          </w:p>
                        </w:tc>
                      </w:tr>
                      <w:tr>
                        <w:trPr>
                          <w:trHeight w:val="341" w:hRule="atLeast"/>
                        </w:trPr>
                        <w:tc>
                          <w:tcPr>
                            <w:tcW w:w="214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center"/>
                              <w:rPr/>
                            </w:pPr>
                            <w:bookmarkStart w:id="5" w:name="__UnoMark__136_562239365"/>
                            <w:bookmarkStart w:id="6" w:name="__UnoMark__135_562239365"/>
                            <w:bookmarkEnd w:id="5"/>
                            <w:bookmarkEnd w:id="6"/>
                            <w:r>
                              <w:rPr>
                                <w:b/>
                                <w:color w:val="000000"/>
                                <w:sz w:val="22"/>
                                <w:szCs w:val="22"/>
                              </w:rPr>
                              <w:t>Total</w:t>
                            </w:r>
                          </w:p>
                        </w:tc>
                        <w:tc>
                          <w:tcPr>
                            <w:tcW w:w="227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right"/>
                              <w:rPr/>
                            </w:pPr>
                            <w:bookmarkStart w:id="7" w:name="__UnoMark__138_562239365"/>
                            <w:bookmarkStart w:id="8" w:name="__UnoMark__137_562239365"/>
                            <w:bookmarkEnd w:id="7"/>
                            <w:bookmarkEnd w:id="8"/>
                            <w:r>
                              <w:rPr>
                                <w:b/>
                                <w:color w:val="000000"/>
                                <w:sz w:val="22"/>
                                <w:szCs w:val="22"/>
                              </w:rPr>
                              <w:t>6.464.796.509</w:t>
                            </w:r>
                          </w:p>
                        </w:tc>
                        <w:tc>
                          <w:tcPr>
                            <w:tcW w:w="109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6" w:type="dxa"/>
                            </w:tcMar>
                            <w:vAlign w:val="center"/>
                          </w:tcPr>
                          <w:p>
                            <w:pPr>
                              <w:pStyle w:val="Contenidodelatabla"/>
                              <w:jc w:val="right"/>
                              <w:rPr/>
                            </w:pPr>
                            <w:bookmarkStart w:id="9" w:name="__UnoMark__139_562239365"/>
                            <w:bookmarkEnd w:id="9"/>
                            <w:r>
                              <w:rPr>
                                <w:b/>
                                <w:color w:val="000000"/>
                                <w:sz w:val="22"/>
                                <w:szCs w:val="22"/>
                              </w:rPr>
                              <w:t>100.0%</w:t>
                            </w:r>
                          </w:p>
                        </w:tc>
                      </w:tr>
                    </w:tbl>
                    <w:p>
                      <w:pPr>
                        <w:pStyle w:val="Contenidodelmarco"/>
                        <w:spacing w:before="0" w:after="120"/>
                        <w:rPr>
                          <w:color w:val="auto"/>
                        </w:rPr>
                      </w:pPr>
                      <w:r>
                        <w:rPr>
                          <w:color w:val="auto"/>
                        </w:rPr>
                      </w:r>
                    </w:p>
                  </w:txbxContent>
                </v:textbox>
              </v:rect>
            </w:pict>
          </mc:Fallback>
        </mc:AlternateContent>
      </w:r>
    </w:p>
    <w:p>
      <w:pPr>
        <w:pStyle w:val="Cuerpodetexto"/>
        <w:spacing w:before="0" w:after="0"/>
        <w:jc w:val="both"/>
        <w:rPr>
          <w:rFonts w:eastAsia="Times New Roman"/>
          <w:sz w:val="22"/>
          <w:szCs w:val="22"/>
          <w:shd w:fill="E6FF00" w:val="clear"/>
          <w:lang w:eastAsia="ar-SA"/>
        </w:rPr>
      </w:pPr>
      <w:r>
        <w:rPr>
          <w:rFonts w:eastAsia="Times New Roman"/>
          <w:sz w:val="22"/>
          <w:szCs w:val="22"/>
          <w:shd w:fill="E6FF00" w:val="clear"/>
          <w:lang w:eastAsia="ar-SA"/>
        </w:rPr>
      </w:r>
    </w:p>
    <w:p>
      <w:pPr>
        <w:pStyle w:val="Cuerpodetexto"/>
        <w:spacing w:before="0" w:after="0"/>
        <w:jc w:val="both"/>
        <w:rPr>
          <w:rFonts w:eastAsia="Times New Roman"/>
          <w:sz w:val="22"/>
          <w:szCs w:val="22"/>
          <w:shd w:fill="E6FF00" w:val="clear"/>
          <w:lang w:eastAsia="ar-SA"/>
        </w:rPr>
      </w:pPr>
      <w:r>
        <w:rPr>
          <w:rFonts w:eastAsia="Times New Roman"/>
          <w:sz w:val="22"/>
          <w:szCs w:val="22"/>
          <w:shd w:fill="E6FF00" w:val="clear"/>
          <w:lang w:eastAsia="ar-SA"/>
        </w:rPr>
      </w:r>
    </w:p>
    <w:p>
      <w:pPr>
        <w:pStyle w:val="Cuerpodetexto"/>
        <w:numPr>
          <w:ilvl w:val="0"/>
          <w:numId w:val="0"/>
        </w:numPr>
        <w:spacing w:before="0" w:after="0"/>
        <w:jc w:val="both"/>
        <w:outlineLvl w:val="1"/>
        <w:rPr>
          <w:b/>
          <w:b/>
          <w:bCs/>
          <w:sz w:val="22"/>
          <w:szCs w:val="22"/>
        </w:rPr>
      </w:pPr>
      <w:bookmarkStart w:id="10" w:name="_Toc432752288"/>
      <w:bookmarkStart w:id="11" w:name="_Toc432752288"/>
      <w:bookmarkEnd w:id="11"/>
      <w:r>
        <w:rPr>
          <w:b/>
          <w:bCs/>
          <w:sz w:val="22"/>
          <w:szCs w:val="22"/>
        </w:rPr>
      </w:r>
    </w:p>
    <w:p>
      <w:pPr>
        <w:pStyle w:val="Cuerpodetexto"/>
        <w:numPr>
          <w:ilvl w:val="0"/>
          <w:numId w:val="0"/>
        </w:numPr>
        <w:spacing w:before="0" w:after="0"/>
        <w:jc w:val="both"/>
        <w:outlineLvl w:val="1"/>
        <w:rPr>
          <w:b/>
          <w:b/>
          <w:bCs/>
          <w:sz w:val="22"/>
          <w:szCs w:val="22"/>
        </w:rPr>
      </w:pPr>
      <w:r>
        <w:rPr>
          <w:b/>
          <w:bCs/>
          <w:sz w:val="22"/>
          <w:szCs w:val="22"/>
        </w:rPr>
      </w:r>
    </w:p>
    <w:p>
      <w:pPr>
        <w:pStyle w:val="Cuerpodetexto"/>
        <w:numPr>
          <w:ilvl w:val="0"/>
          <w:numId w:val="0"/>
        </w:numPr>
        <w:spacing w:before="0" w:after="0"/>
        <w:jc w:val="both"/>
        <w:outlineLvl w:val="1"/>
        <w:rPr>
          <w:b/>
          <w:b/>
          <w:bCs/>
          <w:sz w:val="22"/>
          <w:szCs w:val="22"/>
        </w:rPr>
      </w:pPr>
      <w:r>
        <w:rPr>
          <w:b/>
          <w:bCs/>
          <w:sz w:val="22"/>
          <w:szCs w:val="22"/>
        </w:rPr>
        <w:t>Reservas de Funcionamiento</w:t>
      </w:r>
    </w:p>
    <w:p>
      <w:pPr>
        <w:pStyle w:val="Cuerpodetexto"/>
        <w:spacing w:before="0" w:after="0"/>
        <w:jc w:val="both"/>
        <w:rPr>
          <w:b/>
          <w:b/>
          <w:bCs/>
          <w:sz w:val="22"/>
          <w:szCs w:val="22"/>
        </w:rPr>
      </w:pPr>
      <w:r>
        <w:rPr>
          <w:b/>
          <w:bCs/>
          <w:sz w:val="22"/>
          <w:szCs w:val="22"/>
        </w:rPr>
      </w:r>
    </w:p>
    <w:p>
      <w:pPr>
        <w:pStyle w:val="Normal1"/>
        <w:jc w:val="both"/>
        <w:rPr>
          <w:bCs/>
          <w:sz w:val="22"/>
          <w:szCs w:val="22"/>
        </w:rPr>
      </w:pPr>
      <w:r>
        <w:rPr>
          <w:bCs/>
          <w:sz w:val="22"/>
          <w:szCs w:val="22"/>
        </w:rPr>
        <w:t>Las reservas presupuestales contempladas por funcionamiento de la entidad, los servicios de aseo y cafetería, y vigilancia de las diferentes sedes de la Secretaría, así como los arrendamientos de gestión documental y la sede de la calle 12, insumos para impresoras, computadores, servicios de fotocopiado, e internet y el mantenimientos de vehículos, UPS, aire acondicionado, entre otros, con el fin de garantizar los servicios durante el primer trimestre del próximo años,  mientras se surten los procesos de selección para la contratación.</w:t>
      </w:r>
    </w:p>
    <w:p>
      <w:pPr>
        <w:pStyle w:val="Cuerpodetexto"/>
        <w:spacing w:before="0" w:after="0"/>
        <w:jc w:val="both"/>
        <w:rPr/>
      </w:pPr>
      <w:r>
        <w:rPr/>
      </w:r>
    </w:p>
    <w:p>
      <w:pPr>
        <w:pStyle w:val="Cuerpodetexto"/>
        <w:numPr>
          <w:ilvl w:val="0"/>
          <w:numId w:val="0"/>
        </w:numPr>
        <w:spacing w:before="0" w:after="0"/>
        <w:jc w:val="both"/>
        <w:outlineLvl w:val="1"/>
        <w:rPr>
          <w:b/>
          <w:b/>
          <w:bCs/>
          <w:sz w:val="22"/>
          <w:szCs w:val="22"/>
        </w:rPr>
      </w:pPr>
      <w:bookmarkStart w:id="12" w:name="_Toc432752289"/>
      <w:bookmarkEnd w:id="12"/>
      <w:r>
        <w:rPr>
          <w:b/>
          <w:bCs/>
          <w:sz w:val="22"/>
          <w:szCs w:val="22"/>
        </w:rPr>
        <w:t>Reservas de Inversión</w:t>
      </w:r>
    </w:p>
    <w:p>
      <w:pPr>
        <w:pStyle w:val="Cuerpodetexto"/>
        <w:spacing w:before="0" w:after="0"/>
        <w:jc w:val="both"/>
        <w:rPr>
          <w:b/>
          <w:b/>
          <w:bCs/>
          <w:sz w:val="22"/>
          <w:szCs w:val="22"/>
        </w:rPr>
      </w:pPr>
      <w:r>
        <w:rPr>
          <w:b/>
          <w:bCs/>
          <w:sz w:val="22"/>
          <w:szCs w:val="22"/>
        </w:rPr>
      </w:r>
    </w:p>
    <w:p>
      <w:pPr>
        <w:pStyle w:val="Cuerpodetexto"/>
        <w:spacing w:before="0" w:after="0"/>
        <w:jc w:val="both"/>
        <w:rPr>
          <w:bCs/>
          <w:sz w:val="22"/>
          <w:szCs w:val="22"/>
        </w:rPr>
      </w:pPr>
      <w:r>
        <w:rPr>
          <w:bCs/>
          <w:sz w:val="22"/>
          <w:szCs w:val="22"/>
        </w:rPr>
        <w:t>Para la vigencia 2016, la entidad tiene previsto constituir reservas presupuestales de inversión por un valor de $6.077 millones, distribuidas de la siguiente manera:</w:t>
      </w:r>
    </w:p>
    <w:p>
      <w:pPr>
        <w:pStyle w:val="Cuerpodetexto"/>
        <w:spacing w:before="0" w:after="0"/>
        <w:jc w:val="both"/>
        <w:rPr>
          <w:bCs/>
          <w:sz w:val="22"/>
          <w:szCs w:val="22"/>
        </w:rPr>
      </w:pPr>
      <w:r>
        <w:rPr>
          <w:bCs/>
          <w:sz w:val="22"/>
          <w:szCs w:val="22"/>
        </w:rPr>
      </w:r>
    </w:p>
    <w:p>
      <w:pPr>
        <w:pStyle w:val="Cuerpodetexto"/>
        <w:spacing w:before="0" w:after="0"/>
        <w:jc w:val="center"/>
        <w:rPr>
          <w:b/>
          <w:b/>
          <w:bCs/>
          <w:sz w:val="22"/>
          <w:szCs w:val="22"/>
        </w:rPr>
      </w:pPr>
      <w:r>
        <w:rPr/>
        <w:drawing>
          <wp:inline distT="0" distB="0" distL="0" distR="0">
            <wp:extent cx="4727575" cy="1647825"/>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2"/>
                    <a:stretch>
                      <a:fillRect/>
                    </a:stretch>
                  </pic:blipFill>
                  <pic:spPr bwMode="auto">
                    <a:xfrm>
                      <a:off x="0" y="0"/>
                      <a:ext cx="4727575" cy="1647825"/>
                    </a:xfrm>
                    <a:prstGeom prst="rect">
                      <a:avLst/>
                    </a:prstGeom>
                  </pic:spPr>
                </pic:pic>
              </a:graphicData>
            </a:graphic>
          </wp:inline>
        </w:drawing>
      </w:r>
    </w:p>
    <w:p>
      <w:pPr>
        <w:pStyle w:val="Cuerpodetexto"/>
        <w:jc w:val="both"/>
        <w:rPr>
          <w:rFonts w:eastAsia="Times New Roman"/>
          <w:b/>
          <w:b/>
          <w:bCs/>
          <w:sz w:val="22"/>
          <w:szCs w:val="22"/>
          <w:lang w:eastAsia="ar-SA"/>
        </w:rPr>
      </w:pPr>
      <w:r>
        <w:rPr>
          <w:rFonts w:eastAsia="Times New Roman"/>
          <w:b/>
          <w:bCs/>
          <w:sz w:val="22"/>
          <w:szCs w:val="22"/>
          <w:lang w:eastAsia="ar-SA"/>
        </w:rPr>
      </w:r>
    </w:p>
    <w:p>
      <w:pPr>
        <w:pStyle w:val="Cuerpodetexto"/>
        <w:jc w:val="both"/>
        <w:rPr>
          <w:rFonts w:eastAsia="Times New Roman"/>
          <w:b/>
          <w:b/>
          <w:bCs/>
          <w:sz w:val="22"/>
          <w:szCs w:val="22"/>
          <w:lang w:eastAsia="ar-SA"/>
        </w:rPr>
      </w:pPr>
      <w:r>
        <w:rPr>
          <w:rFonts w:eastAsia="Times New Roman"/>
          <w:b/>
          <w:bCs/>
          <w:sz w:val="22"/>
          <w:szCs w:val="22"/>
          <w:lang w:eastAsia="ar-SA"/>
        </w:rPr>
      </w:r>
    </w:p>
    <w:p>
      <w:pPr>
        <w:pStyle w:val="Cuerpodetexto"/>
        <w:jc w:val="both"/>
        <w:rPr>
          <w:rFonts w:eastAsia="Times New Roman"/>
          <w:b/>
          <w:b/>
          <w:bCs/>
          <w:sz w:val="22"/>
          <w:szCs w:val="22"/>
          <w:lang w:eastAsia="ar-SA"/>
        </w:rPr>
      </w:pPr>
      <w:r>
        <w:rPr>
          <w:rFonts w:eastAsia="Times New Roman"/>
          <w:b/>
          <w:bCs/>
          <w:sz w:val="22"/>
          <w:szCs w:val="22"/>
          <w:lang w:eastAsia="ar-SA"/>
        </w:rPr>
        <w:t>763. Gestión Cultural Territorial ($149.311.710)</w:t>
      </w:r>
    </w:p>
    <w:p>
      <w:pPr>
        <w:pStyle w:val="Cuerpodetexto"/>
        <w:jc w:val="both"/>
        <w:rPr>
          <w:rFonts w:eastAsia="Times New Roman"/>
          <w:bCs/>
          <w:sz w:val="22"/>
          <w:szCs w:val="22"/>
          <w:lang w:eastAsia="ar-SA"/>
        </w:rPr>
      </w:pPr>
      <w:r>
        <w:rPr>
          <w:rFonts w:eastAsia="Times New Roman"/>
          <w:bCs/>
          <w:sz w:val="22"/>
          <w:szCs w:val="22"/>
          <w:lang w:eastAsia="ar-SA"/>
        </w:rPr>
        <w:t>$84.000.000 de convenios tripartitos con los FDL de Suba y Rafael Uribe Uribe cuya ejecución es concertada ($42.000.000 para cada localidad).</w:t>
      </w:r>
    </w:p>
    <w:p>
      <w:pPr>
        <w:pStyle w:val="Cuerpodetexto"/>
        <w:jc w:val="both"/>
        <w:rPr>
          <w:rFonts w:eastAsia="Times New Roman"/>
          <w:bCs/>
          <w:sz w:val="22"/>
          <w:szCs w:val="22"/>
          <w:lang w:eastAsia="ar-SA"/>
        </w:rPr>
      </w:pPr>
      <w:r>
        <w:rPr>
          <w:rFonts w:eastAsia="Times New Roman"/>
          <w:bCs/>
          <w:sz w:val="22"/>
          <w:szCs w:val="22"/>
          <w:lang w:eastAsia="ar-SA"/>
        </w:rPr>
        <w:t>$42.000.000 de convenios tripartitos que terminan en diciembre y el último desembolso está sujeto a la revisión de los documentos. (Fontibón $24.300.000 y Engativá $17.700.000).</w:t>
      </w:r>
    </w:p>
    <w:p>
      <w:pPr>
        <w:pStyle w:val="Cuerpodetexto"/>
        <w:jc w:val="both"/>
        <w:rPr>
          <w:rFonts w:eastAsia="Times New Roman"/>
          <w:bCs/>
          <w:sz w:val="22"/>
          <w:szCs w:val="22"/>
          <w:lang w:eastAsia="ar-SA"/>
        </w:rPr>
      </w:pPr>
      <w:r>
        <w:rPr>
          <w:rFonts w:eastAsia="Times New Roman"/>
          <w:bCs/>
          <w:sz w:val="22"/>
          <w:szCs w:val="22"/>
          <w:lang w:eastAsia="ar-SA"/>
        </w:rPr>
        <w:t>$21.083.403 de la Casa de la Cultura de Mártires porque su ejecución termina en diciembre y el último desembolso es del 60%.</w:t>
      </w:r>
    </w:p>
    <w:p>
      <w:pPr>
        <w:pStyle w:val="Cuerpodetexto"/>
        <w:jc w:val="both"/>
        <w:rPr>
          <w:rFonts w:eastAsia="Times New Roman"/>
          <w:bCs/>
          <w:sz w:val="22"/>
          <w:szCs w:val="22"/>
          <w:lang w:eastAsia="ar-SA"/>
        </w:rPr>
      </w:pPr>
      <w:r>
        <w:rPr>
          <w:rFonts w:eastAsia="Times New Roman"/>
          <w:bCs/>
          <w:sz w:val="22"/>
          <w:szCs w:val="22"/>
          <w:lang w:eastAsia="ar-SA"/>
        </w:rPr>
        <w:t>$2.228.307 del servicio de Avantel porque su ejecución está por 10 meses terminando el 16 de enero, lo que significa que el último pago se efectuará en 2016.</w:t>
        <w:tab/>
      </w:r>
    </w:p>
    <w:p>
      <w:pPr>
        <w:pStyle w:val="Cuerpodetexto"/>
        <w:jc w:val="both"/>
        <w:rPr>
          <w:rFonts w:eastAsia="Times New Roman"/>
          <w:bCs/>
          <w:sz w:val="22"/>
          <w:szCs w:val="22"/>
          <w:lang w:eastAsia="ar-SA"/>
        </w:rPr>
      </w:pPr>
      <w:r>
        <w:rPr>
          <w:rFonts w:eastAsia="Times New Roman"/>
          <w:bCs/>
          <w:sz w:val="22"/>
          <w:szCs w:val="22"/>
          <w:lang w:eastAsia="ar-SA"/>
        </w:rPr>
      </w:r>
    </w:p>
    <w:p>
      <w:pPr>
        <w:pStyle w:val="Cuerpodetexto"/>
        <w:jc w:val="both"/>
        <w:rPr>
          <w:rFonts w:eastAsia="Times New Roman"/>
          <w:b/>
          <w:b/>
          <w:bCs/>
          <w:sz w:val="22"/>
          <w:szCs w:val="22"/>
          <w:lang w:eastAsia="ar-SA"/>
        </w:rPr>
      </w:pPr>
      <w:r>
        <w:rPr>
          <w:rFonts w:eastAsia="Times New Roman"/>
          <w:b/>
          <w:bCs/>
          <w:sz w:val="22"/>
          <w:szCs w:val="22"/>
          <w:lang w:eastAsia="ar-SA"/>
        </w:rPr>
        <w:t>773. Oportunidades para el ejercicio de los derechos culturales ($5.500.000)</w:t>
      </w:r>
    </w:p>
    <w:p>
      <w:pPr>
        <w:pStyle w:val="Cuerpodetexto"/>
        <w:spacing w:before="0" w:after="0"/>
        <w:jc w:val="both"/>
        <w:rPr>
          <w:rFonts w:eastAsia="Times New Roman"/>
          <w:bCs/>
          <w:sz w:val="22"/>
          <w:szCs w:val="22"/>
          <w:lang w:eastAsia="ar-SA"/>
        </w:rPr>
      </w:pPr>
      <w:r>
        <w:rPr>
          <w:rFonts w:eastAsia="Times New Roman"/>
          <w:bCs/>
          <w:sz w:val="22"/>
          <w:szCs w:val="22"/>
          <w:lang w:eastAsia="ar-SA"/>
        </w:rPr>
        <w:t>Corresponde al segundo pago de la primera adición del Convenio 229 de 2014, debido a que dicho desembolso está sujeto a la inauguración de la obra.</w:t>
      </w:r>
    </w:p>
    <w:p>
      <w:pPr>
        <w:pStyle w:val="Cuerpodetexto"/>
        <w:spacing w:before="0" w:after="0"/>
        <w:jc w:val="both"/>
        <w:rPr>
          <w:rFonts w:eastAsia="Times New Roman"/>
          <w:b/>
          <w:b/>
          <w:bCs/>
          <w:sz w:val="22"/>
          <w:szCs w:val="22"/>
          <w:highlight w:val="yellow"/>
          <w:lang w:eastAsia="ar-SA"/>
        </w:rPr>
      </w:pPr>
      <w:r>
        <w:rPr>
          <w:rFonts w:eastAsia="Times New Roman"/>
          <w:bCs/>
          <w:sz w:val="22"/>
          <w:szCs w:val="22"/>
          <w:lang w:eastAsia="ar-SA"/>
        </w:rPr>
        <w:tab/>
        <w:tab/>
      </w:r>
    </w:p>
    <w:p>
      <w:pPr>
        <w:pStyle w:val="Cuerpodetexto"/>
        <w:spacing w:before="0" w:after="0"/>
        <w:jc w:val="both"/>
        <w:rPr>
          <w:rFonts w:eastAsia="Times New Roman"/>
          <w:b/>
          <w:b/>
          <w:bCs/>
          <w:sz w:val="22"/>
          <w:szCs w:val="22"/>
          <w:lang w:eastAsia="ar-SA"/>
        </w:rPr>
      </w:pPr>
      <w:r>
        <w:rPr>
          <w:rFonts w:eastAsia="Times New Roman"/>
          <w:b/>
          <w:bCs/>
          <w:sz w:val="22"/>
          <w:szCs w:val="22"/>
          <w:lang w:eastAsia="ar-SA"/>
        </w:rPr>
      </w:r>
    </w:p>
    <w:p>
      <w:pPr>
        <w:pStyle w:val="Cuerpodetexto"/>
        <w:spacing w:before="0" w:after="0"/>
        <w:jc w:val="both"/>
        <w:rPr>
          <w:rFonts w:eastAsia="Times New Roman"/>
          <w:b/>
          <w:b/>
          <w:bCs/>
          <w:sz w:val="22"/>
          <w:szCs w:val="22"/>
          <w:lang w:eastAsia="ar-SA"/>
        </w:rPr>
      </w:pPr>
      <w:r>
        <w:rPr>
          <w:rFonts w:eastAsia="Times New Roman"/>
          <w:b/>
          <w:bCs/>
          <w:sz w:val="22"/>
          <w:szCs w:val="22"/>
          <w:lang w:eastAsia="ar-SA"/>
        </w:rPr>
        <w:t>782. Territorios culturales y revitalizados /Equipamiento y corredores culturales ($5.922.470.366)</w:t>
      </w:r>
    </w:p>
    <w:p>
      <w:pPr>
        <w:pStyle w:val="Cuerpodetexto"/>
        <w:spacing w:before="0" w:after="0"/>
        <w:jc w:val="both"/>
        <w:rPr>
          <w:rFonts w:eastAsia="Times New Roman"/>
          <w:b/>
          <w:b/>
          <w:bCs/>
          <w:sz w:val="22"/>
          <w:szCs w:val="22"/>
          <w:lang w:eastAsia="ar-SA"/>
        </w:rPr>
      </w:pPr>
      <w:r>
        <w:rPr>
          <w:rFonts w:eastAsia="Times New Roman"/>
          <w:b/>
          <w:bCs/>
          <w:sz w:val="22"/>
          <w:szCs w:val="22"/>
          <w:lang w:eastAsia="ar-SA"/>
        </w:rPr>
      </w:r>
    </w:p>
    <w:p>
      <w:pPr>
        <w:pStyle w:val="Normal1"/>
        <w:jc w:val="both"/>
        <w:rPr>
          <w:rFonts w:eastAsia="Times New Roman"/>
          <w:sz w:val="22"/>
          <w:szCs w:val="22"/>
          <w:lang w:eastAsia="ar-SA"/>
        </w:rPr>
      </w:pPr>
      <w:r>
        <w:rPr>
          <w:rFonts w:eastAsia="Times New Roman"/>
          <w:sz w:val="22"/>
          <w:szCs w:val="22"/>
          <w:lang w:eastAsia="ar-SA"/>
        </w:rPr>
        <w:t>$202.776.052.</w:t>
      </w:r>
      <w:r>
        <w:rPr/>
        <w:t xml:space="preserve"> </w:t>
      </w:r>
      <w:r>
        <w:rPr>
          <w:rFonts w:eastAsia="Times New Roman"/>
          <w:sz w:val="22"/>
          <w:szCs w:val="22"/>
          <w:lang w:eastAsia="ar-SA"/>
        </w:rPr>
        <w:t>La Fundación Teatro Nacional manifestó vía correo electrónico que el interventor del proyecto Daniel Duplat visitó el Teatro y expresó que por temas de infraestructura la remodelación de los baños debería hacerse justo como esta en este momento e implantar el baño para personas en condición de discapacidad cerca al ingreso de los mismos al teatro. Por esta razón están trabajando en el cambio del presupuesto y el cronograma para solicitar la prorroga al acta de compromiso 007/15. Por consiguiente, se estima que los dos últimos pagos de este proyecto se estarían realizando el próximo año.</w:t>
      </w:r>
    </w:p>
    <w:p>
      <w:pPr>
        <w:pStyle w:val="Normal1"/>
        <w:jc w:val="both"/>
        <w:rPr>
          <w:rFonts w:eastAsia="Times New Roman"/>
          <w:sz w:val="22"/>
          <w:szCs w:val="22"/>
          <w:lang w:eastAsia="ar-SA"/>
        </w:rPr>
      </w:pPr>
      <w:r>
        <w:rPr>
          <w:rFonts w:eastAsia="Times New Roman"/>
          <w:sz w:val="22"/>
          <w:szCs w:val="22"/>
          <w:lang w:eastAsia="ar-SA"/>
        </w:rPr>
      </w:r>
    </w:p>
    <w:p>
      <w:pPr>
        <w:pStyle w:val="Normal1"/>
        <w:jc w:val="both"/>
        <w:rPr>
          <w:rFonts w:eastAsia="Times New Roman"/>
          <w:sz w:val="22"/>
          <w:szCs w:val="22"/>
          <w:lang w:eastAsia="ar-SA"/>
        </w:rPr>
      </w:pPr>
      <w:r>
        <w:rPr>
          <w:rFonts w:eastAsia="Times New Roman"/>
          <w:sz w:val="22"/>
          <w:szCs w:val="22"/>
          <w:lang w:eastAsia="ar-SA"/>
        </w:rPr>
        <w:t>$184.604.856. La Fundación Teatro Nacional - Casa del Teatro Nacional, de acuerdo a la solicitud de prórroga realizada, la supervisión estima que es necesario proyectar el tercer y último pago para la vigencia 2016, ya que esta modificación afecta de manera directa el cronograma de ejecución.</w:t>
      </w:r>
    </w:p>
    <w:p>
      <w:pPr>
        <w:pStyle w:val="Normal1"/>
        <w:jc w:val="both"/>
        <w:rPr>
          <w:rFonts w:eastAsia="Times New Roman"/>
          <w:sz w:val="22"/>
          <w:szCs w:val="22"/>
          <w:lang w:eastAsia="ar-SA"/>
        </w:rPr>
      </w:pPr>
      <w:r>
        <w:rPr>
          <w:rFonts w:eastAsia="Times New Roman"/>
          <w:sz w:val="22"/>
          <w:szCs w:val="22"/>
          <w:lang w:eastAsia="ar-SA"/>
        </w:rPr>
      </w:r>
    </w:p>
    <w:p>
      <w:pPr>
        <w:pStyle w:val="Normal1"/>
        <w:jc w:val="both"/>
        <w:rPr>
          <w:rFonts w:eastAsia="Times New Roman"/>
          <w:sz w:val="22"/>
          <w:szCs w:val="22"/>
          <w:lang w:eastAsia="ar-SA"/>
        </w:rPr>
      </w:pPr>
      <w:r>
        <w:rPr>
          <w:rFonts w:eastAsia="Times New Roman"/>
          <w:sz w:val="22"/>
          <w:szCs w:val="22"/>
          <w:lang w:eastAsia="ar-SA"/>
        </w:rPr>
        <w:t>$490.000.000. Teatro R-101. El total de los recursos depende de licencia de construcción. Proyecto LEP beneficiario de la convocatoria LEP 2015 (Resolución 361 del 27 de mayo de 2015). A la fecha no cuenta con la Suscripción del Acta de Compromiso ya que esto depende de la entrega de la licencia de construcción aprobada por la Curaduría Urbana No.4, la cual se encuentra en trámite. Por lo anterior y teniendo en cuenta que el proyecto tiene un plazo de ejecución de 5 meses, la DACP estima que es necesario proyectar el segundo, tercer y último pago para la vigencia 2016.</w:t>
      </w:r>
    </w:p>
    <w:p>
      <w:pPr>
        <w:pStyle w:val="Normal1"/>
        <w:jc w:val="both"/>
        <w:rPr>
          <w:rFonts w:eastAsia="Times New Roman"/>
          <w:sz w:val="22"/>
          <w:szCs w:val="22"/>
          <w:lang w:eastAsia="ar-SA"/>
        </w:rPr>
      </w:pPr>
      <w:r>
        <w:rPr>
          <w:rFonts w:eastAsia="Times New Roman"/>
          <w:sz w:val="22"/>
          <w:szCs w:val="22"/>
          <w:lang w:eastAsia="ar-SA"/>
        </w:rPr>
      </w:r>
    </w:p>
    <w:p>
      <w:pPr>
        <w:pStyle w:val="Normal1"/>
        <w:jc w:val="both"/>
        <w:rPr>
          <w:rFonts w:eastAsia="Times New Roman"/>
          <w:sz w:val="22"/>
          <w:szCs w:val="22"/>
          <w:lang w:eastAsia="ar-SA"/>
        </w:rPr>
      </w:pPr>
      <w:r>
        <w:rPr>
          <w:rFonts w:eastAsia="Times New Roman"/>
          <w:sz w:val="22"/>
          <w:szCs w:val="22"/>
          <w:lang w:eastAsia="ar-SA"/>
        </w:rPr>
        <w:t>$143.144.687. Fundación Centro Cultural Gabriel García Márquez. De acuerdo a la solicitud de prórroga realizada por la Fundación, la supervisión estima que es necesario proyectar el tercer y último pago para la vigencia 2016, ya que esta modificación afecta de manera directa el cronograma de ejecución.</w:t>
        <w:tab/>
        <w:tab/>
      </w:r>
    </w:p>
    <w:p>
      <w:pPr>
        <w:pStyle w:val="Normal1"/>
        <w:jc w:val="both"/>
        <w:rPr>
          <w:rFonts w:eastAsia="Times New Roman"/>
          <w:sz w:val="22"/>
          <w:szCs w:val="22"/>
          <w:lang w:eastAsia="ar-SA"/>
        </w:rPr>
      </w:pPr>
      <w:r>
        <w:rPr>
          <w:rFonts w:eastAsia="Times New Roman"/>
          <w:sz w:val="22"/>
          <w:szCs w:val="22"/>
          <w:lang w:eastAsia="ar-SA"/>
        </w:rPr>
      </w:r>
    </w:p>
    <w:p>
      <w:pPr>
        <w:pStyle w:val="Normal1"/>
        <w:jc w:val="both"/>
        <w:rPr>
          <w:rFonts w:eastAsia="Times New Roman"/>
          <w:sz w:val="22"/>
          <w:szCs w:val="22"/>
          <w:lang w:eastAsia="ar-SA"/>
        </w:rPr>
      </w:pPr>
      <w:r>
        <w:rPr>
          <w:rFonts w:eastAsia="Times New Roman"/>
          <w:sz w:val="22"/>
          <w:szCs w:val="22"/>
          <w:lang w:eastAsia="ar-SA"/>
        </w:rPr>
        <w:t>$68.926.045. Corporación para El Desarrollo del Arte y la Cultura Popular Coddiarcupop. De acuerdo a la solicitud realizada por la Corporación Cultural para el Desarrollo y Difusión del Arte y la Cultura Popular y teniendo en cuenta el incremento impredecible del valor del dólar que afecta los costos inicialmente presentados en el componente de dotación, la supervisión estima que es necesario proyectar el tercer y último pago para la vigencia 2016, ya que esta modificación afecta de manera directa el cronograma de ejecución.</w:t>
      </w:r>
    </w:p>
    <w:p>
      <w:pPr>
        <w:pStyle w:val="Normal1"/>
        <w:jc w:val="both"/>
        <w:rPr>
          <w:rFonts w:eastAsia="Times New Roman"/>
          <w:sz w:val="22"/>
          <w:szCs w:val="22"/>
          <w:lang w:eastAsia="ar-SA"/>
        </w:rPr>
      </w:pPr>
      <w:r>
        <w:rPr>
          <w:rFonts w:eastAsia="Times New Roman"/>
          <w:sz w:val="22"/>
          <w:szCs w:val="22"/>
          <w:lang w:eastAsia="ar-SA"/>
        </w:rPr>
      </w:r>
    </w:p>
    <w:p>
      <w:pPr>
        <w:pStyle w:val="Normal1"/>
        <w:jc w:val="both"/>
        <w:rPr>
          <w:rFonts w:eastAsia="Times New Roman"/>
          <w:sz w:val="22"/>
          <w:szCs w:val="22"/>
          <w:lang w:eastAsia="ar-SA"/>
        </w:rPr>
      </w:pPr>
      <w:r>
        <w:rPr>
          <w:rFonts w:eastAsia="Times New Roman"/>
          <w:sz w:val="22"/>
          <w:szCs w:val="22"/>
          <w:lang w:eastAsia="ar-SA"/>
        </w:rPr>
        <w:t>$105.366.491. Casa Tercer Acto. De acuerdo a la solicitud realizada por la Corporación Cultural Tercer Acto y teniendo en cuenta el incremento impredecible del valor del dólar que afecta los costos inicialmente presentados en el componente de dotación, la supervisión estima que es necesario proyectar el tercer y último pago para la vigencia 2016, ya que esta modificación afecta de manera directa el cronograma de ejecución.</w:t>
      </w:r>
    </w:p>
    <w:p>
      <w:pPr>
        <w:pStyle w:val="Normal1"/>
        <w:jc w:val="both"/>
        <w:rPr>
          <w:rFonts w:eastAsia="Times New Roman"/>
          <w:sz w:val="22"/>
          <w:szCs w:val="22"/>
          <w:lang w:eastAsia="ar-SA"/>
        </w:rPr>
      </w:pPr>
      <w:r>
        <w:rPr>
          <w:rFonts w:eastAsia="Times New Roman"/>
          <w:sz w:val="22"/>
          <w:szCs w:val="22"/>
          <w:lang w:eastAsia="ar-SA"/>
        </w:rPr>
      </w:r>
    </w:p>
    <w:p>
      <w:pPr>
        <w:pStyle w:val="Normal1"/>
        <w:jc w:val="both"/>
        <w:rPr>
          <w:rFonts w:eastAsia="Times New Roman"/>
          <w:sz w:val="22"/>
          <w:szCs w:val="22"/>
          <w:lang w:eastAsia="ar-SA"/>
        </w:rPr>
      </w:pPr>
      <w:r>
        <w:rPr>
          <w:rFonts w:eastAsia="Times New Roman"/>
          <w:sz w:val="22"/>
          <w:szCs w:val="22"/>
          <w:lang w:eastAsia="ar-SA"/>
        </w:rPr>
        <w:t>$118.073.521. Teatro Nacional Fanny Mikey. El proceso de compra, entrega e instalación de la dotación requiere más tiempo del previsto, por lo que la supervisión estima que es necesario proyectar el tercer y último pago para la vigencia 2016.</w:t>
      </w:r>
    </w:p>
    <w:p>
      <w:pPr>
        <w:pStyle w:val="Normal1"/>
        <w:jc w:val="both"/>
        <w:rPr>
          <w:rFonts w:eastAsia="Times New Roman"/>
          <w:sz w:val="22"/>
          <w:szCs w:val="22"/>
          <w:lang w:eastAsia="ar-SA"/>
        </w:rPr>
      </w:pPr>
      <w:r>
        <w:rPr>
          <w:rFonts w:eastAsia="Times New Roman"/>
          <w:sz w:val="22"/>
          <w:szCs w:val="22"/>
          <w:lang w:eastAsia="ar-SA"/>
        </w:rPr>
      </w:r>
    </w:p>
    <w:p>
      <w:pPr>
        <w:pStyle w:val="Normal1"/>
        <w:jc w:val="both"/>
        <w:rPr>
          <w:rFonts w:eastAsia="Times New Roman"/>
          <w:sz w:val="22"/>
          <w:szCs w:val="22"/>
          <w:lang w:eastAsia="ar-SA"/>
        </w:rPr>
      </w:pPr>
      <w:r>
        <w:rPr>
          <w:rFonts w:eastAsia="Times New Roman"/>
          <w:sz w:val="22"/>
          <w:szCs w:val="22"/>
          <w:lang w:eastAsia="ar-SA"/>
        </w:rPr>
        <w:t>$117.303.923. Casa E.  El proceso de compra, entrega e instalación de la dotación requiere más tiempo del previsto, por lo que la supervisión estima que es necesario proyectar el tercer y último pago para la vigencia 2016.</w:t>
      </w:r>
    </w:p>
    <w:p>
      <w:pPr>
        <w:pStyle w:val="Normal1"/>
        <w:jc w:val="both"/>
        <w:rPr>
          <w:rFonts w:eastAsia="Times New Roman"/>
          <w:sz w:val="22"/>
          <w:szCs w:val="22"/>
          <w:lang w:eastAsia="ar-SA"/>
        </w:rPr>
      </w:pPr>
      <w:r>
        <w:rPr>
          <w:rFonts w:eastAsia="Times New Roman"/>
          <w:sz w:val="22"/>
          <w:szCs w:val="22"/>
          <w:lang w:eastAsia="ar-SA"/>
        </w:rPr>
      </w:r>
    </w:p>
    <w:p>
      <w:pPr>
        <w:pStyle w:val="Normal1"/>
        <w:jc w:val="both"/>
        <w:rPr>
          <w:rFonts w:eastAsia="Times New Roman"/>
          <w:sz w:val="22"/>
          <w:szCs w:val="22"/>
          <w:lang w:eastAsia="ar-SA"/>
        </w:rPr>
      </w:pPr>
      <w:r>
        <w:rPr>
          <w:rFonts w:eastAsia="Times New Roman"/>
          <w:sz w:val="22"/>
          <w:szCs w:val="22"/>
          <w:lang w:eastAsia="ar-SA"/>
        </w:rPr>
        <w:t>$109.628.548. Teatro La Macarena.  El proceso de compra, entrega e instalación de la dotación requiere más tiempo del previsto, por lo que la supervisión estima que es necesario proyectar el tercer y último pago para la vigencia 2016.</w:t>
      </w:r>
    </w:p>
    <w:p>
      <w:pPr>
        <w:pStyle w:val="Normal1"/>
        <w:jc w:val="both"/>
        <w:rPr>
          <w:rFonts w:eastAsia="Times New Roman"/>
          <w:sz w:val="22"/>
          <w:szCs w:val="22"/>
          <w:lang w:eastAsia="ar-SA"/>
        </w:rPr>
      </w:pPr>
      <w:r>
        <w:rPr>
          <w:rFonts w:eastAsia="Times New Roman"/>
          <w:sz w:val="22"/>
          <w:szCs w:val="22"/>
          <w:lang w:eastAsia="ar-SA"/>
        </w:rPr>
      </w:r>
    </w:p>
    <w:p>
      <w:pPr>
        <w:pStyle w:val="Normal1"/>
        <w:jc w:val="both"/>
        <w:rPr>
          <w:rFonts w:eastAsia="Times New Roman"/>
          <w:sz w:val="22"/>
          <w:szCs w:val="22"/>
          <w:lang w:eastAsia="ar-SA"/>
        </w:rPr>
      </w:pPr>
      <w:r>
        <w:rPr>
          <w:rFonts w:eastAsia="Times New Roman"/>
          <w:sz w:val="22"/>
          <w:szCs w:val="22"/>
          <w:lang w:eastAsia="ar-SA"/>
        </w:rPr>
        <w:t>$118.793.797. Teatro Quimera.  El proceso de compra, entrega e instalación de la dotación requiere más tiempo del previsto, por lo que la supervisión estima que es necesario proyectar el tercer y último pago para la vigencia 2016.</w:t>
      </w:r>
    </w:p>
    <w:p>
      <w:pPr>
        <w:pStyle w:val="Normal1"/>
        <w:jc w:val="both"/>
        <w:rPr>
          <w:rFonts w:eastAsia="Times New Roman"/>
          <w:sz w:val="22"/>
          <w:szCs w:val="22"/>
          <w:lang w:eastAsia="ar-SA"/>
        </w:rPr>
      </w:pPr>
      <w:r>
        <w:rPr>
          <w:rFonts w:eastAsia="Times New Roman"/>
          <w:sz w:val="22"/>
          <w:szCs w:val="22"/>
          <w:lang w:eastAsia="ar-SA"/>
        </w:rPr>
      </w:r>
    </w:p>
    <w:p>
      <w:pPr>
        <w:pStyle w:val="Normal1"/>
        <w:jc w:val="both"/>
        <w:rPr>
          <w:rFonts w:eastAsia="Times New Roman"/>
          <w:sz w:val="22"/>
          <w:szCs w:val="22"/>
          <w:lang w:eastAsia="ar-SA"/>
        </w:rPr>
      </w:pPr>
      <w:r>
        <w:rPr>
          <w:rFonts w:eastAsia="Times New Roman"/>
          <w:sz w:val="22"/>
          <w:szCs w:val="22"/>
          <w:lang w:eastAsia="ar-SA"/>
        </w:rPr>
        <w:t>$3.668.800.802. Teatro El Ensueño. Teniendo en cuenta que el plazo de ejecución del contrato de obra No.091 de 2015 es de 15 meses a partir del 20 mayo, se proyectan reservas por el monto señalado.</w:t>
      </w:r>
    </w:p>
    <w:p>
      <w:pPr>
        <w:pStyle w:val="Normal1"/>
        <w:jc w:val="both"/>
        <w:rPr>
          <w:rFonts w:eastAsia="Times New Roman"/>
          <w:sz w:val="22"/>
          <w:szCs w:val="22"/>
          <w:lang w:eastAsia="ar-SA"/>
        </w:rPr>
      </w:pPr>
      <w:r>
        <w:rPr>
          <w:rFonts w:eastAsia="Times New Roman"/>
          <w:sz w:val="22"/>
          <w:szCs w:val="22"/>
          <w:lang w:eastAsia="ar-SA"/>
        </w:rPr>
      </w:r>
    </w:p>
    <w:p>
      <w:pPr>
        <w:pStyle w:val="Normal1"/>
        <w:jc w:val="both"/>
        <w:rPr>
          <w:rFonts w:eastAsia="Times New Roman"/>
          <w:sz w:val="22"/>
          <w:szCs w:val="22"/>
          <w:lang w:eastAsia="ar-SA"/>
        </w:rPr>
      </w:pPr>
      <w:r>
        <w:rPr>
          <w:rFonts w:eastAsia="Times New Roman"/>
          <w:sz w:val="22"/>
          <w:szCs w:val="22"/>
          <w:lang w:eastAsia="ar-SA"/>
        </w:rPr>
        <w:t>$595.051.644. Teatro El Ensueño. Teniendo en cuenta que el plazo de ejecución del contrato el contrato de obra No.091 de 2015 es de 15 meses a partir del 20 mayo, se proyectan reservas por cuenta del contrato de interventoría No. 101 de 2015 asociado a la misma obra.</w:t>
      </w:r>
    </w:p>
    <w:p>
      <w:pPr>
        <w:pStyle w:val="Normal1"/>
        <w:jc w:val="both"/>
        <w:rPr>
          <w:color w:val="00000A"/>
        </w:rPr>
      </w:pPr>
      <w:r>
        <w:rPr>
          <w:rFonts w:eastAsia="Times New Roman"/>
          <w:b/>
          <w:color w:val="00000A"/>
          <w:sz w:val="22"/>
          <w:szCs w:val="22"/>
          <w:lang w:eastAsia="ar-SA"/>
        </w:rPr>
        <w:t>Fuente de la Información:</w:t>
      </w:r>
      <w:r>
        <w:rPr>
          <w:rFonts w:eastAsia="Times New Roman"/>
          <w:color w:val="00000A"/>
          <w:sz w:val="22"/>
          <w:szCs w:val="22"/>
          <w:lang w:eastAsia="ar-SA"/>
        </w:rPr>
        <w:t xml:space="preserve">  Documento de anteproyecto de presupuesto 2016</w:t>
      </w:r>
    </w:p>
    <w:p>
      <w:pPr>
        <w:pStyle w:val="Normal1"/>
        <w:jc w:val="both"/>
        <w:rPr>
          <w:color w:val="00000A"/>
        </w:rPr>
      </w:pPr>
      <w:bookmarkStart w:id="13" w:name="_GoBack"/>
      <w:r>
        <w:rPr>
          <w:rFonts w:eastAsia="Times New Roman"/>
          <w:b/>
          <w:color w:val="00000A"/>
          <w:sz w:val="22"/>
          <w:szCs w:val="22"/>
          <w:lang w:eastAsia="ar-SA"/>
        </w:rPr>
        <w:t>Fecha:</w:t>
      </w:r>
      <w:r>
        <w:rPr>
          <w:rFonts w:eastAsia="Times New Roman"/>
          <w:color w:val="00000A"/>
          <w:sz w:val="22"/>
          <w:szCs w:val="22"/>
          <w:lang w:eastAsia="ar-SA"/>
        </w:rPr>
        <w:t xml:space="preserve"> </w:t>
      </w:r>
      <w:bookmarkEnd w:id="13"/>
      <w:r>
        <w:rPr>
          <w:rFonts w:eastAsia="Times New Roman"/>
          <w:color w:val="00000A"/>
          <w:sz w:val="22"/>
          <w:szCs w:val="22"/>
          <w:lang w:eastAsia="ar-SA"/>
        </w:rPr>
        <w:t>16 de octubre del 2015</w:t>
      </w:r>
    </w:p>
    <w:p>
      <w:pPr>
        <w:pStyle w:val="Normal1"/>
        <w:rPr/>
      </w:pPr>
      <w:r>
        <w:rPr/>
      </w:r>
    </w:p>
    <w:sectPr>
      <w:headerReference w:type="default" r:id="rId3"/>
      <w:footerReference w:type="default" r:id="rId4"/>
      <w:type w:val="nextPage"/>
      <w:pgSz w:w="12240" w:h="15840"/>
      <w:pgMar w:left="1701" w:right="1134" w:header="1627" w:top="2308" w:footer="720" w:bottom="1985"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Wingdings">
    <w:charset w:val="01"/>
    <w:family w:val="roman"/>
    <w:pitch w:val="variable"/>
  </w:font>
  <w:font w:name="Wingdings 2">
    <w:charset w:val="01"/>
    <w:family w:val="roman"/>
    <w:pitch w:val="variable"/>
  </w:font>
  <w:font w:name="OpenSymbol">
    <w:altName w:val="Arial Unicode MS"/>
    <w:charset w:val="01"/>
    <w:family w:val="roman"/>
    <w:pitch w:val="variable"/>
  </w:font>
  <w:font w:name="Luxi Mono">
    <w:charset w:val="01"/>
    <w:family w:val="roman"/>
    <w:pitch w:val="variable"/>
  </w:font>
  <w:font w:name="Nimbus Mono L">
    <w:altName w:val="Courier New"/>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ambr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fldChar w:fldCharType="begin"/>
    </w:r>
    <w:r>
      <w:instrText> PAGE </w:instrText>
    </w:r>
    <w:r>
      <w:fldChar w:fldCharType="separate"/>
    </w:r>
    <w:r>
      <w:t>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jc w:val="right"/>
      <w:rPr>
        <w:i/>
        <w:i/>
        <w:lang w:val="es-CO"/>
      </w:rPr>
    </w:pPr>
    <w:r>
      <mc:AlternateContent>
        <mc:Choice Requires="wps">
          <w:drawing>
            <wp:anchor behindDoc="1" distT="0" distB="0" distL="114300" distR="114300" simplePos="0" locked="0" layoutInCell="1" allowOverlap="1" relativeHeight="5">
              <wp:simplePos x="0" y="0"/>
              <wp:positionH relativeFrom="column">
                <wp:posOffset>62230</wp:posOffset>
              </wp:positionH>
              <wp:positionV relativeFrom="paragraph">
                <wp:posOffset>311150</wp:posOffset>
              </wp:positionV>
              <wp:extent cx="5955030" cy="40640"/>
              <wp:effectExtent l="0" t="0" r="0" b="0"/>
              <wp:wrapNone/>
              <wp:docPr id="4" name="Conector recto 9"/>
              <a:graphic xmlns:a="http://schemas.openxmlformats.org/drawingml/2006/main">
                <a:graphicData uri="http://schemas.microsoft.com/office/word/2010/wordprocessingShape">
                  <wps:wsp>
                    <wps:cNvSpPr/>
                    <wps:spPr>
                      <a:xfrm flipV="1">
                        <a:off x="0" y="0"/>
                        <a:ext cx="5954400" cy="37440"/>
                      </a:xfrm>
                      <a:prstGeom prst="line">
                        <a:avLst/>
                      </a:prstGeom>
                      <a:ln w="28440">
                        <a:solidFill>
                          <a:schemeClr val="tx1"/>
                        </a:solidFill>
                        <a:round/>
                      </a:ln>
                    </wps:spPr>
                    <wps:style>
                      <a:lnRef idx="0"/>
                      <a:fillRef idx="0"/>
                      <a:effectRef idx="0"/>
                      <a:fontRef idx="minor"/>
                    </wps:style>
                    <wps:bodyPr/>
                  </wps:wsp>
                </a:graphicData>
              </a:graphic>
            </wp:anchor>
          </w:drawing>
        </mc:Choice>
        <mc:Fallback>
          <w:pict>
            <v:line id="shape_0" from="4.9pt,23.1pt" to="473.7pt,26pt" ID="Conector recto 9" stroked="t" style="position:absolute;flip:y">
              <v:stroke color="black" weight="28440" joinstyle="round" endcap="flat"/>
              <v:fill o:detectmouseclick="t" on="false"/>
            </v:line>
          </w:pict>
        </mc:Fallback>
      </mc:AlternateContent>
    </w:r>
    <w:r>
      <w:rPr>
        <w:i/>
        <w:lang w:val="es-CO"/>
      </w:rPr>
      <w:t>Anteproyecto de Presupuesto 2016</w:t>
    </w:r>
  </w:p>
  <w:p>
    <w:pPr>
      <w:pStyle w:val="Cuerpodetexto"/>
      <w:spacing w:before="0" w:after="120"/>
      <w:rPr>
        <w:lang w:val="es-CO"/>
      </w:rPr>
    </w:pPr>
    <w:r>
      <w:rPr>
        <w:lang w:val="es-CO"/>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DejaVu Sans" w:cs="Tahoma"/>
        <w:szCs w:val="24"/>
        <w:lang w:val="es-ES" w:eastAsia="es-CO" w:bidi="ar-SA"/>
      </w:rPr>
    </w:rPrDefault>
    <w:pPrDefault>
      <w:pPr>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textAlignment w:val="baseline"/>
    </w:pPr>
    <w:rPr>
      <w:rFonts w:ascii="Arial" w:hAnsi="Arial" w:eastAsia="DejaVu Sans" w:cs="Tahoma"/>
      <w:color w:val="auto"/>
      <w:sz w:val="20"/>
      <w:szCs w:val="24"/>
      <w:lang w:val="es-ES" w:eastAsia="es-CO" w:bidi="ar-SA"/>
    </w:rPr>
  </w:style>
  <w:style w:type="paragraph" w:styleId="Encabezado1" w:customStyle="1">
    <w:name w:val="Encabezado 1"/>
    <w:basedOn w:val="Normal1"/>
    <w:pPr>
      <w:keepNext/>
      <w:outlineLvl w:val="0"/>
    </w:pPr>
    <w:rPr>
      <w:b/>
      <w:bCs/>
      <w:sz w:val="22"/>
      <w:szCs w:val="22"/>
      <w:u w:val="single"/>
    </w:rPr>
  </w:style>
  <w:style w:type="paragraph" w:styleId="Encabezado2" w:customStyle="1">
    <w:name w:val="Encabezado 2"/>
    <w:basedOn w:val="Encabezado"/>
    <w:pPr>
      <w:widowControl w:val="false"/>
      <w:suppressAutoHyphens w:val="true"/>
      <w:bidi w:val="0"/>
      <w:jc w:val="left"/>
      <w:outlineLvl w:val="1"/>
    </w:pPr>
    <w:rPr>
      <w:b/>
      <w:bCs/>
      <w:i/>
      <w:iCs/>
      <w:sz w:val="24"/>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WW8Num2z0" w:customStyle="1">
    <w:name w:val="WW8Num2z0"/>
    <w:qFormat/>
    <w:rPr>
      <w:rFonts w:ascii="Symbol" w:hAnsi="Symbol" w:eastAsia="Symbol" w:cs="Wingdings"/>
      <w:sz w:val="18"/>
      <w:szCs w:val="18"/>
    </w:rPr>
  </w:style>
  <w:style w:type="character" w:styleId="WW8Num3z0" w:customStyle="1">
    <w:name w:val="WW8Num3z0"/>
    <w:qFormat/>
    <w:rPr>
      <w:rFonts w:ascii="Wingdings" w:hAnsi="Wingdings" w:eastAsia="Wingdings" w:cs="Wingdings"/>
      <w:sz w:val="18"/>
      <w:szCs w:val="18"/>
    </w:rPr>
  </w:style>
  <w:style w:type="character" w:styleId="WW8Num4z0" w:customStyle="1">
    <w:name w:val="WW8Num4z0"/>
    <w:qFormat/>
    <w:rPr>
      <w:rFonts w:ascii="Symbol" w:hAnsi="Symbol" w:eastAsia="Symbol" w:cs="Wingdings"/>
      <w:sz w:val="18"/>
      <w:szCs w:val="18"/>
    </w:rPr>
  </w:style>
  <w:style w:type="character" w:styleId="WW8Num5z0" w:customStyle="1">
    <w:name w:val="WW8Num5z0"/>
    <w:qFormat/>
    <w:rPr>
      <w:rFonts w:ascii="Symbol" w:hAnsi="Symbol" w:eastAsia="Symbol" w:cs="Wingdings"/>
      <w:sz w:val="18"/>
      <w:szCs w:val="18"/>
    </w:rPr>
  </w:style>
  <w:style w:type="character" w:styleId="WW8Num5z1" w:customStyle="1">
    <w:name w:val="WW8Num5z1"/>
    <w:qFormat/>
    <w:rPr>
      <w:rFonts w:ascii="Wingdings 2" w:hAnsi="Wingdings 2" w:eastAsia="Wingdings 2" w:cs="Wingdings"/>
      <w:sz w:val="18"/>
      <w:szCs w:val="18"/>
    </w:rPr>
  </w:style>
  <w:style w:type="character" w:styleId="WW8Num6z1" w:customStyle="1">
    <w:name w:val="WW8Num6z1"/>
    <w:qFormat/>
    <w:rPr>
      <w:rFonts w:ascii="OpenSymbol" w:hAnsi="OpenSymbol" w:eastAsia="OpenSymbol" w:cs="Wingdings"/>
      <w:sz w:val="18"/>
      <w:szCs w:val="18"/>
    </w:rPr>
  </w:style>
  <w:style w:type="character" w:styleId="Muydestacado" w:customStyle="1">
    <w:name w:val="Muy destacado"/>
    <w:rPr>
      <w:b/>
      <w:bCs/>
    </w:rPr>
  </w:style>
  <w:style w:type="character" w:styleId="WWTextonoproporcional11" w:customStyle="1">
    <w:name w:val="WW-Texto no proporcional11"/>
    <w:qFormat/>
    <w:rPr>
      <w:rFonts w:ascii="Luxi Mono" w:hAnsi="Luxi Mono" w:eastAsia="Luxi Mono" w:cs="Luxi Mono"/>
    </w:rPr>
  </w:style>
  <w:style w:type="character" w:styleId="Teletipo" w:customStyle="1">
    <w:name w:val="Teletipo"/>
    <w:qFormat/>
    <w:rPr>
      <w:rFonts w:ascii="Nimbus Mono L" w:hAnsi="Nimbus Mono L" w:eastAsia="Nimbus Mono L" w:cs="Nimbus Mono L"/>
    </w:rPr>
  </w:style>
  <w:style w:type="character" w:styleId="SinespaciadoCar" w:customStyle="1">
    <w:name w:val="Sin espaciado Car"/>
    <w:basedOn w:val="DefaultParagraphFont"/>
    <w:qFormat/>
    <w:rPr>
      <w:rFonts w:ascii="Calibri" w:hAnsi="Calibri" w:eastAsia="Calibri" w:cs="Calibri"/>
      <w:sz w:val="22"/>
      <w:szCs w:val="22"/>
      <w:lang w:val="es-ES" w:bidi="ar-SA"/>
    </w:rPr>
  </w:style>
  <w:style w:type="character" w:styleId="CarCar" w:customStyle="1">
    <w:name w:val="Car Car"/>
    <w:basedOn w:val="DefaultParagraphFont"/>
    <w:qFormat/>
    <w:rPr>
      <w:rFonts w:ascii="Tahoma" w:hAnsi="Tahoma" w:eastAsia="DejaVu Sans" w:cs="Tahoma"/>
      <w:sz w:val="16"/>
      <w:szCs w:val="16"/>
    </w:rPr>
  </w:style>
  <w:style w:type="character" w:styleId="EnlacedeInternet" w:customStyle="1">
    <w:name w:val="Enlace de Internet"/>
    <w:basedOn w:val="DefaultParagraphFont"/>
    <w:uiPriority w:val="99"/>
    <w:unhideWhenUsed/>
    <w:rsid w:val="00bc0a39"/>
    <w:rPr>
      <w:color w:val="0563C1" w:themeColor="hyperlink"/>
      <w:u w:val="single"/>
    </w:rPr>
  </w:style>
  <w:style w:type="character" w:styleId="CarCar1" w:customStyle="1">
    <w:name w:val="Car Car1"/>
    <w:basedOn w:val="DefaultParagraphFont"/>
    <w:qFormat/>
    <w:rPr>
      <w:rFonts w:ascii="Arial" w:hAnsi="Arial" w:eastAsia="DejaVu Sans" w:cs="Arial"/>
      <w:sz w:val="24"/>
      <w:szCs w:val="24"/>
    </w:rPr>
  </w:style>
  <w:style w:type="character" w:styleId="CarCar2" w:customStyle="1">
    <w:name w:val="Car Car2"/>
    <w:basedOn w:val="DefaultParagraphFont"/>
    <w:qFormat/>
    <w:rPr>
      <w:rFonts w:ascii="Arial" w:hAnsi="Arial" w:eastAsia="DejaVu Sans" w:cs="Arial"/>
      <w:sz w:val="24"/>
      <w:szCs w:val="24"/>
    </w:rPr>
  </w:style>
  <w:style w:type="character" w:styleId="EnlacedeInternetyavisitado" w:customStyle="1">
    <w:name w:val="Enlace de Internet ya visitado"/>
    <w:basedOn w:val="DefaultParagraphFont"/>
    <w:rPr>
      <w:color w:val="800080"/>
      <w:u w:val="single"/>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Fuentedeprrafopredeter1" w:customStyle="1">
    <w:name w:val="Fuente de párrafo predeter.1"/>
    <w:qFormat/>
    <w:rPr/>
  </w:style>
  <w:style w:type="character" w:styleId="Caracteresdenotaalpie" w:customStyle="1">
    <w:name w:val="Caracteres de nota al pie"/>
    <w:qFormat/>
    <w:rPr/>
  </w:style>
  <w:style w:type="character" w:styleId="Ancladenotaalpie" w:customStyle="1">
    <w:name w:val="Ancla de nota al pie"/>
    <w:rsid w:val="00d1638d"/>
    <w:rPr>
      <w:vertAlign w:val="superscript"/>
    </w:rPr>
  </w:style>
  <w:style w:type="character" w:styleId="WW8Num25z1" w:customStyle="1">
    <w:name w:val="WW8Num25z1"/>
    <w:qFormat/>
    <w:rPr>
      <w:rFonts w:ascii="OpenSymbol, 'Arial Unicode MS'" w:hAnsi="OpenSymbol, 'Arial Unicode MS'" w:eastAsia="OpenSymbol, 'Arial Unicode MS'" w:cs="OpenSymbol, 'Arial Unicode MS'"/>
    </w:rPr>
  </w:style>
  <w:style w:type="character" w:styleId="WW8Num25z3" w:customStyle="1">
    <w:name w:val="WW8Num25z3"/>
    <w:qFormat/>
    <w:rPr>
      <w:rFonts w:ascii="Symbol" w:hAnsi="Symbol" w:eastAsia="Symbol" w:cs="OpenSymbol, 'Arial Unicode MS'"/>
    </w:rPr>
  </w:style>
  <w:style w:type="character" w:styleId="WW8Num11z1" w:customStyle="1">
    <w:name w:val="WW8Num11z1"/>
    <w:qFormat/>
    <w:rPr>
      <w:rFonts w:ascii="OpenSymbol, 'Arial Unicode MS'" w:hAnsi="OpenSymbol, 'Arial Unicode MS'" w:eastAsia="OpenSymbol, 'Arial Unicode MS'" w:cs="OpenSymbol, 'Arial Unicode MS'"/>
    </w:rPr>
  </w:style>
  <w:style w:type="character" w:styleId="WW8Num11z3" w:customStyle="1">
    <w:name w:val="WW8Num11z3"/>
    <w:qFormat/>
    <w:rPr>
      <w:rFonts w:ascii="Symbol" w:hAnsi="Symbol" w:eastAsia="Symbol" w:cs="OpenSymbol, 'Arial Unicode MS'"/>
    </w:rPr>
  </w:style>
  <w:style w:type="character" w:styleId="WW8Num12z1" w:customStyle="1">
    <w:name w:val="WW8Num12z1"/>
    <w:qFormat/>
    <w:rPr>
      <w:rFonts w:ascii="OpenSymbol, 'Arial Unicode MS'" w:hAnsi="OpenSymbol, 'Arial Unicode MS'" w:eastAsia="OpenSymbol, 'Arial Unicode MS'" w:cs="OpenSymbol, 'Arial Unicode MS'"/>
    </w:rPr>
  </w:style>
  <w:style w:type="character" w:styleId="WW8Num12z3" w:customStyle="1">
    <w:name w:val="WW8Num12z3"/>
    <w:qFormat/>
    <w:rPr>
      <w:rFonts w:ascii="Symbol" w:hAnsi="Symbol" w:eastAsia="Symbol" w:cs="OpenSymbol, 'Arial Unicode MS'"/>
    </w:rPr>
  </w:style>
  <w:style w:type="character" w:styleId="WW8Num13z1" w:customStyle="1">
    <w:name w:val="WW8Num13z1"/>
    <w:qFormat/>
    <w:rPr>
      <w:rFonts w:ascii="OpenSymbol, 'Arial Unicode MS'" w:hAnsi="OpenSymbol, 'Arial Unicode MS'" w:eastAsia="OpenSymbol, 'Arial Unicode MS'" w:cs="OpenSymbol, 'Arial Unicode MS'"/>
    </w:rPr>
  </w:style>
  <w:style w:type="character" w:styleId="WW8Num13z3" w:customStyle="1">
    <w:name w:val="WW8Num13z3"/>
    <w:qFormat/>
    <w:rPr>
      <w:rFonts w:ascii="Symbol" w:hAnsi="Symbol" w:eastAsia="Symbol" w:cs="OpenSymbol, 'Arial Unicode MS'"/>
    </w:rPr>
  </w:style>
  <w:style w:type="character" w:styleId="WW8Num24z0" w:customStyle="1">
    <w:name w:val="WW8Num24z0"/>
    <w:qFormat/>
    <w:rPr>
      <w:rFonts w:ascii="Symbol" w:hAnsi="Symbol" w:eastAsia="Symbol" w:cs="OpenSymbol, 'Arial Unicode MS'"/>
    </w:rPr>
  </w:style>
  <w:style w:type="character" w:styleId="WW8Num24z1" w:customStyle="1">
    <w:name w:val="WW8Num24z1"/>
    <w:qFormat/>
    <w:rPr>
      <w:rFonts w:ascii="OpenSymbol, 'Arial Unicode MS'" w:hAnsi="OpenSymbol, 'Arial Unicode MS'" w:eastAsia="OpenSymbol, 'Arial Unicode MS'" w:cs="OpenSymbol, 'Arial Unicode MS'"/>
    </w:rPr>
  </w:style>
  <w:style w:type="character" w:styleId="WW8Num16z1" w:customStyle="1">
    <w:name w:val="WW8Num16z1"/>
    <w:qFormat/>
    <w:rPr>
      <w:rFonts w:ascii="OpenSymbol, 'Arial Unicode MS'" w:hAnsi="OpenSymbol, 'Arial Unicode MS'" w:eastAsia="OpenSymbol, 'Arial Unicode MS'" w:cs="OpenSymbol, 'Arial Unicode MS'"/>
    </w:rPr>
  </w:style>
  <w:style w:type="character" w:styleId="WW8Num16z3" w:customStyle="1">
    <w:name w:val="WW8Num16z3"/>
    <w:qFormat/>
    <w:rPr>
      <w:rFonts w:ascii="Symbol" w:hAnsi="Symbol" w:eastAsia="Symbol" w:cs="OpenSymbol, 'Arial Unicode MS'"/>
    </w:rPr>
  </w:style>
  <w:style w:type="character" w:styleId="WW8Num19z0" w:customStyle="1">
    <w:name w:val="WW8Num19z0"/>
    <w:qFormat/>
    <w:rPr>
      <w:rFonts w:ascii="Symbol" w:hAnsi="Symbol" w:eastAsia="Symbol" w:cs="OpenSymbol, 'Arial Unicode MS'"/>
    </w:rPr>
  </w:style>
  <w:style w:type="character" w:styleId="WW8Num19z1" w:customStyle="1">
    <w:name w:val="WW8Num19z1"/>
    <w:qFormat/>
    <w:rPr>
      <w:rFonts w:ascii="OpenSymbol, 'Arial Unicode MS'" w:hAnsi="OpenSymbol, 'Arial Unicode MS'" w:eastAsia="OpenSymbol, 'Arial Unicode MS'" w:cs="OpenSymbol, 'Arial Unicode MS'"/>
    </w:rPr>
  </w:style>
  <w:style w:type="character" w:styleId="WW8Num18z0" w:customStyle="1">
    <w:name w:val="WW8Num18z0"/>
    <w:qFormat/>
    <w:rPr>
      <w:rFonts w:ascii="Symbol" w:hAnsi="Symbol" w:eastAsia="Symbol" w:cs="OpenSymbol, 'Arial Unicode MS'"/>
    </w:rPr>
  </w:style>
  <w:style w:type="character" w:styleId="WW8Num18z1" w:customStyle="1">
    <w:name w:val="WW8Num18z1"/>
    <w:qFormat/>
    <w:rPr>
      <w:rFonts w:ascii="OpenSymbol, 'Arial Unicode MS'" w:hAnsi="OpenSymbol, 'Arial Unicode MS'" w:eastAsia="OpenSymbol, 'Arial Unicode MS'" w:cs="OpenSymbol, 'Arial Unicode MS'"/>
    </w:rPr>
  </w:style>
  <w:style w:type="character" w:styleId="Footnotereference">
    <w:name w:val="footnote reference"/>
    <w:basedOn w:val="DefaultParagraphFont"/>
    <w:uiPriority w:val="99"/>
    <w:semiHidden/>
    <w:unhideWhenUsed/>
    <w:qFormat/>
    <w:rPr>
      <w:vertAlign w:val="superscript"/>
    </w:rPr>
  </w:style>
  <w:style w:type="character" w:styleId="T2" w:customStyle="1">
    <w:name w:val="T2"/>
    <w:qFormat/>
    <w:rsid w:val="00d1638d"/>
    <w:rPr/>
  </w:style>
  <w:style w:type="character" w:styleId="T12" w:customStyle="1">
    <w:name w:val="T12"/>
    <w:qFormat/>
    <w:rsid w:val="00d1638d"/>
    <w:rPr/>
  </w:style>
  <w:style w:type="character" w:styleId="T5" w:customStyle="1">
    <w:name w:val="T5"/>
    <w:qFormat/>
    <w:rsid w:val="00d1638d"/>
    <w:rPr/>
  </w:style>
  <w:style w:type="character" w:styleId="T6" w:customStyle="1">
    <w:name w:val="T6"/>
    <w:qFormat/>
    <w:rsid w:val="00d1638d"/>
    <w:rPr/>
  </w:style>
  <w:style w:type="character" w:styleId="T7" w:customStyle="1">
    <w:name w:val="T7"/>
    <w:qFormat/>
    <w:rsid w:val="00d1638d"/>
    <w:rPr/>
  </w:style>
  <w:style w:type="character" w:styleId="T4" w:customStyle="1">
    <w:name w:val="T4"/>
    <w:qFormat/>
    <w:rsid w:val="00d1638d"/>
    <w:rPr/>
  </w:style>
  <w:style w:type="character" w:styleId="T8" w:customStyle="1">
    <w:name w:val="T8"/>
    <w:qFormat/>
    <w:rsid w:val="00d1638d"/>
    <w:rPr/>
  </w:style>
  <w:style w:type="character" w:styleId="T10" w:customStyle="1">
    <w:name w:val="T10"/>
    <w:qFormat/>
    <w:rsid w:val="00d1638d"/>
    <w:rPr/>
  </w:style>
  <w:style w:type="character" w:styleId="T13" w:customStyle="1">
    <w:name w:val="T13"/>
    <w:qFormat/>
    <w:rsid w:val="00d1638d"/>
    <w:rPr/>
  </w:style>
  <w:style w:type="character" w:styleId="T14" w:customStyle="1">
    <w:name w:val="T14"/>
    <w:qFormat/>
    <w:rsid w:val="00d1638d"/>
    <w:rPr/>
  </w:style>
  <w:style w:type="character" w:styleId="T3" w:customStyle="1">
    <w:name w:val="T3"/>
    <w:qFormat/>
    <w:rsid w:val="00d1638d"/>
    <w:rPr/>
  </w:style>
  <w:style w:type="character" w:styleId="ListLabel1" w:customStyle="1">
    <w:name w:val="ListLabel 1"/>
    <w:qFormat/>
    <w:rPr>
      <w:rFonts w:cs="Wingdings"/>
      <w:sz w:val="18"/>
      <w:szCs w:val="18"/>
    </w:rPr>
  </w:style>
  <w:style w:type="character" w:styleId="ListLabel2" w:customStyle="1">
    <w:name w:val="ListLabel 2"/>
    <w:qFormat/>
    <w:rPr>
      <w:rFonts w:cs="OpenSymbol, 'Arial Unicode MS'"/>
    </w:rPr>
  </w:style>
  <w:style w:type="character" w:styleId="ListLabel3" w:customStyle="1">
    <w:name w:val="ListLabel 3"/>
    <w:qFormat/>
    <w:rPr>
      <w:rFonts w:cs="Courier New"/>
    </w:rPr>
  </w:style>
  <w:style w:type="character" w:styleId="ListLabel4" w:customStyle="1">
    <w:name w:val="ListLabel 4"/>
    <w:qFormat/>
    <w:rPr>
      <w:rFonts w:eastAsia="DejaVu Sans" w:cs="Arial"/>
      <w:sz w:val="22"/>
    </w:rPr>
  </w:style>
  <w:style w:type="character" w:styleId="ListLabel5" w:customStyle="1">
    <w:name w:val="ListLabel 5"/>
    <w:qFormat/>
    <w:rPr>
      <w:rFonts w:eastAsia="DejaVu Sans" w:cs="Arial"/>
    </w:rPr>
  </w:style>
  <w:style w:type="paragraph" w:styleId="Encabezado">
    <w:name w:val="Encabezado"/>
    <w:basedOn w:val="Normal"/>
    <w:next w:val="Cuerpodetexto"/>
    <w:qFormat/>
    <w:pPr>
      <w:keepNext/>
      <w:spacing w:before="240" w:after="120"/>
    </w:pPr>
    <w:rPr>
      <w:rFonts w:ascii="Liberation Sans" w:hAnsi="Liberation Sans" w:eastAsia="Arial Unicode MS" w:cs="Arial Unicode MS"/>
      <w:sz w:val="28"/>
      <w:szCs w:val="28"/>
    </w:rPr>
  </w:style>
  <w:style w:type="paragraph" w:styleId="Cuerpodetexto" w:customStyle="1">
    <w:name w:val="Cuerpo de texto"/>
    <w:basedOn w:val="Normal1"/>
    <w:pPr>
      <w:spacing w:lineRule="auto" w:line="288" w:before="0" w:after="120"/>
    </w:pPr>
    <w:rPr/>
  </w:style>
  <w:style w:type="paragraph" w:styleId="Lista">
    <w:name w:val="Lista"/>
    <w:basedOn w:val="Cuerpodetexto"/>
    <w:pPr/>
    <w:rPr>
      <w:rFonts w:cs="Lohit Hindi"/>
    </w:rPr>
  </w:style>
  <w:style w:type="paragraph" w:styleId="Leyenda">
    <w:name w:val="Leyenda"/>
    <w:basedOn w:val="Normal"/>
    <w:pPr>
      <w:suppressLineNumbers/>
      <w:spacing w:before="120" w:after="120"/>
    </w:pPr>
    <w:rPr>
      <w:i/>
      <w:iCs/>
      <w:sz w:val="24"/>
      <w:szCs w:val="24"/>
    </w:rPr>
  </w:style>
  <w:style w:type="paragraph" w:styleId="Ndice" w:customStyle="1">
    <w:name w:val="Índice"/>
    <w:basedOn w:val="Normal1"/>
    <w:qFormat/>
    <w:pPr>
      <w:suppressLineNumbers/>
    </w:pPr>
    <w:rPr>
      <w:rFonts w:cs="Lohit Hindi"/>
    </w:rPr>
  </w:style>
  <w:style w:type="paragraph" w:styleId="Normal1" w:customStyle="1">
    <w:name w:val="Normal1"/>
    <w:qFormat/>
    <w:rsid w:val="00d1638d"/>
    <w:pPr>
      <w:widowControl/>
      <w:suppressAutoHyphens w:val="true"/>
      <w:bidi w:val="0"/>
      <w:jc w:val="left"/>
      <w:textAlignment w:val="baseline"/>
    </w:pPr>
    <w:rPr>
      <w:rFonts w:cs="Arial" w:ascii="Arial" w:hAnsi="Arial" w:eastAsia="DejaVu Sans"/>
      <w:color w:val="00000A"/>
      <w:sz w:val="24"/>
      <w:szCs w:val="24"/>
      <w:lang w:val="es-ES" w:eastAsia="es-CO" w:bidi="ar-SA"/>
    </w:rPr>
  </w:style>
  <w:style w:type="paragraph" w:styleId="Encabezamiento" w:customStyle="1">
    <w:name w:val="Encabezamiento"/>
    <w:basedOn w:val="Normal1"/>
    <w:pPr>
      <w:keepNext/>
      <w:spacing w:before="240" w:after="120"/>
    </w:pPr>
    <w:rPr>
      <w:rFonts w:cs="Tahoma"/>
      <w:sz w:val="28"/>
      <w:szCs w:val="28"/>
    </w:rPr>
  </w:style>
  <w:style w:type="paragraph" w:styleId="Pie" w:customStyle="1">
    <w:name w:val="Pie"/>
    <w:basedOn w:val="Normal1"/>
    <w:qFormat/>
    <w:pPr>
      <w:suppressLineNumbers/>
      <w:spacing w:before="120" w:after="120"/>
    </w:pPr>
    <w:rPr>
      <w:rFonts w:cs="Lohit Hindi"/>
      <w:i/>
      <w:iCs/>
    </w:rPr>
  </w:style>
  <w:style w:type="paragraph" w:styleId="Encabezado11" w:customStyle="1">
    <w:name w:val="Encabezado1"/>
    <w:basedOn w:val="Normal1"/>
    <w:qFormat/>
    <w:pPr>
      <w:keepNext/>
      <w:spacing w:before="240" w:after="120"/>
    </w:pPr>
    <w:rPr>
      <w:rFonts w:ascii="Liberation Sans" w:hAnsi="Liberation Sans" w:eastAsia="Arial Unicode MS" w:cs="Arial Unicode MS"/>
      <w:sz w:val="28"/>
      <w:szCs w:val="28"/>
    </w:rPr>
  </w:style>
  <w:style w:type="paragraph" w:styleId="Caption">
    <w:name w:val="caption"/>
    <w:basedOn w:val="Normal1"/>
    <w:qFormat/>
    <w:pPr>
      <w:suppressLineNumbers/>
      <w:spacing w:before="120" w:after="120"/>
    </w:pPr>
    <w:rPr>
      <w:i/>
      <w:iCs/>
    </w:rPr>
  </w:style>
  <w:style w:type="paragraph" w:styleId="Index1">
    <w:name w:val="index 1"/>
    <w:basedOn w:val="Normal1"/>
    <w:autoRedefine/>
    <w:uiPriority w:val="99"/>
    <w:semiHidden/>
    <w:unhideWhenUsed/>
    <w:qFormat/>
    <w:rsid w:val="00cf658e"/>
    <w:pPr>
      <w:ind w:left="240" w:hanging="240"/>
    </w:pPr>
    <w:rPr/>
  </w:style>
  <w:style w:type="paragraph" w:styleId="Textoindependiente21" w:customStyle="1">
    <w:name w:val="Texto independiente 21"/>
    <w:basedOn w:val="Normal1"/>
    <w:qFormat/>
    <w:pPr>
      <w:jc w:val="both"/>
    </w:pPr>
    <w:rPr/>
  </w:style>
  <w:style w:type="paragraph" w:styleId="Textoindependiente31" w:customStyle="1">
    <w:name w:val="Texto independiente 31"/>
    <w:basedOn w:val="Normal1"/>
    <w:qFormat/>
    <w:pPr>
      <w:jc w:val="both"/>
    </w:pPr>
    <w:rPr>
      <w:b/>
      <w:bCs/>
    </w:rPr>
  </w:style>
  <w:style w:type="paragraph" w:styleId="Normal2" w:customStyle="1">
    <w:name w:val="Normal2"/>
    <w:basedOn w:val="Normal1"/>
    <w:qFormat/>
    <w:pPr/>
    <w:rPr/>
  </w:style>
  <w:style w:type="paragraph" w:styleId="Piedepgina">
    <w:name w:val="Pie de página"/>
    <w:basedOn w:val="Normal1"/>
    <w:pPr>
      <w:suppressLineNumbers/>
      <w:tabs>
        <w:tab w:val="center" w:pos="4818" w:leader="none"/>
        <w:tab w:val="right" w:pos="9637" w:leader="none"/>
      </w:tabs>
    </w:pPr>
    <w:rPr/>
  </w:style>
  <w:style w:type="paragraph" w:styleId="Encabezadodelndice" w:customStyle="1">
    <w:name w:val="Encabezado del índice"/>
    <w:basedOn w:val="Encabezado1"/>
    <w:uiPriority w:val="39"/>
    <w:qFormat/>
    <w:pPr>
      <w:keepLines/>
      <w:suppressLineNumbers/>
      <w:suppressAutoHyphens w:val="false"/>
      <w:spacing w:lineRule="auto" w:line="276" w:before="480" w:after="0"/>
    </w:pPr>
    <w:rPr>
      <w:rFonts w:ascii="Cambria" w:hAnsi="Cambria" w:eastAsia="Times New Roman" w:cs="Times New Roman"/>
      <w:color w:val="365F91"/>
      <w:sz w:val="28"/>
      <w:szCs w:val="28"/>
      <w:u w:val="none"/>
    </w:rPr>
  </w:style>
  <w:style w:type="paragraph" w:styleId="Index2">
    <w:name w:val="index 2"/>
    <w:basedOn w:val="Normal1"/>
    <w:autoRedefine/>
    <w:uiPriority w:val="99"/>
    <w:semiHidden/>
    <w:unhideWhenUsed/>
    <w:qFormat/>
    <w:rsid w:val="00053e3b"/>
    <w:pPr>
      <w:ind w:left="480" w:hanging="240"/>
    </w:pPr>
    <w:rPr/>
  </w:style>
  <w:style w:type="paragraph" w:styleId="Ndice31" w:customStyle="1">
    <w:name w:val="Índice 31"/>
    <w:basedOn w:val="Ndice"/>
    <w:qFormat/>
    <w:pPr>
      <w:tabs>
        <w:tab w:val="right" w:pos="9971" w:leader="dot"/>
      </w:tabs>
      <w:ind w:left="566" w:hanging="0"/>
    </w:pPr>
    <w:rPr/>
  </w:style>
  <w:style w:type="paragraph" w:styleId="NoSpacing">
    <w:name w:val="No Spacing"/>
    <w:qFormat/>
    <w:pPr>
      <w:widowControl/>
      <w:suppressAutoHyphens w:val="true"/>
      <w:bidi w:val="0"/>
      <w:jc w:val="left"/>
      <w:textAlignment w:val="baseline"/>
    </w:pPr>
    <w:rPr>
      <w:rFonts w:ascii="Calibri" w:hAnsi="Calibri" w:eastAsia="Arial" w:cs="Times New Roman"/>
      <w:color w:val="00000A"/>
      <w:sz w:val="22"/>
      <w:szCs w:val="22"/>
      <w:lang w:val="es-ES" w:eastAsia="es-CO" w:bidi="ar-SA"/>
    </w:rPr>
  </w:style>
  <w:style w:type="paragraph" w:styleId="BalloonText">
    <w:name w:val="Balloon Text"/>
    <w:basedOn w:val="Normal1"/>
    <w:qFormat/>
    <w:pPr/>
    <w:rPr>
      <w:rFonts w:ascii="Tahoma" w:hAnsi="Tahoma" w:eastAsia="Tahoma" w:cs="Tahoma"/>
      <w:sz w:val="16"/>
      <w:szCs w:val="16"/>
    </w:rPr>
  </w:style>
  <w:style w:type="paragraph" w:styleId="Contenidodelatabla" w:customStyle="1">
    <w:name w:val="Contenido de la tabla"/>
    <w:basedOn w:val="Normal1"/>
    <w:qFormat/>
    <w:pPr>
      <w:suppressLineNumbers/>
    </w:pPr>
    <w:rPr/>
  </w:style>
  <w:style w:type="paragraph" w:styleId="Encabezadodelatabla" w:customStyle="1">
    <w:name w:val="Encabezado de la tabla"/>
    <w:basedOn w:val="Contenidodelatabla"/>
    <w:qFormat/>
    <w:pPr>
      <w:jc w:val="center"/>
    </w:pPr>
    <w:rPr>
      <w:b/>
      <w:bCs/>
    </w:rPr>
  </w:style>
  <w:style w:type="paragraph" w:styleId="Contenidodelmarco" w:customStyle="1">
    <w:name w:val="Contenido del marco"/>
    <w:basedOn w:val="Cuerpodetexto"/>
    <w:qFormat/>
    <w:pPr/>
    <w:rPr/>
  </w:style>
  <w:style w:type="paragraph" w:styleId="Ndice41" w:customStyle="1">
    <w:name w:val="Índice 41"/>
    <w:basedOn w:val="Ndice"/>
    <w:qFormat/>
    <w:pPr>
      <w:tabs>
        <w:tab w:val="right" w:pos="9637" w:leader="dot"/>
      </w:tabs>
      <w:ind w:left="849" w:hanging="0"/>
    </w:pPr>
    <w:rPr/>
  </w:style>
  <w:style w:type="paragraph" w:styleId="Ndice51" w:customStyle="1">
    <w:name w:val="Índice 51"/>
    <w:basedOn w:val="Ndice"/>
    <w:qFormat/>
    <w:pPr>
      <w:tabs>
        <w:tab w:val="right" w:pos="9637" w:leader="dot"/>
      </w:tabs>
      <w:ind w:left="1132" w:hanging="0"/>
    </w:pPr>
    <w:rPr/>
  </w:style>
  <w:style w:type="paragraph" w:styleId="Ndice61" w:customStyle="1">
    <w:name w:val="Índice 61"/>
    <w:basedOn w:val="Ndice"/>
    <w:qFormat/>
    <w:pPr>
      <w:tabs>
        <w:tab w:val="right" w:pos="9637" w:leader="dot"/>
      </w:tabs>
      <w:ind w:left="1415" w:hanging="0"/>
    </w:pPr>
    <w:rPr/>
  </w:style>
  <w:style w:type="paragraph" w:styleId="Ndice71" w:customStyle="1">
    <w:name w:val="Índice 71"/>
    <w:basedOn w:val="Ndice"/>
    <w:qFormat/>
    <w:pPr>
      <w:tabs>
        <w:tab w:val="right" w:pos="9637" w:leader="dot"/>
      </w:tabs>
      <w:ind w:left="1698" w:hanging="0"/>
    </w:pPr>
    <w:rPr/>
  </w:style>
  <w:style w:type="paragraph" w:styleId="Ndice81" w:customStyle="1">
    <w:name w:val="Índice 81"/>
    <w:basedOn w:val="Ndice"/>
    <w:qFormat/>
    <w:pPr>
      <w:tabs>
        <w:tab w:val="right" w:pos="9637" w:leader="dot"/>
      </w:tabs>
      <w:ind w:left="1981" w:hanging="0"/>
    </w:pPr>
    <w:rPr/>
  </w:style>
  <w:style w:type="paragraph" w:styleId="Ndice91" w:customStyle="1">
    <w:name w:val="Índice 91"/>
    <w:basedOn w:val="Ndice"/>
    <w:qFormat/>
    <w:pPr>
      <w:tabs>
        <w:tab w:val="right" w:pos="9637" w:leader="dot"/>
      </w:tabs>
      <w:ind w:left="2264" w:hanging="0"/>
    </w:pPr>
    <w:rPr/>
  </w:style>
  <w:style w:type="paragraph" w:styleId="Ndice10" w:customStyle="1">
    <w:name w:val="Índice 10"/>
    <w:basedOn w:val="Ndice"/>
    <w:qFormat/>
    <w:pPr>
      <w:tabs>
        <w:tab w:val="right" w:pos="9637" w:leader="dot"/>
      </w:tabs>
      <w:ind w:left="2547" w:hanging="0"/>
    </w:pPr>
    <w:rPr/>
  </w:style>
  <w:style w:type="paragraph" w:styleId="Cita1" w:customStyle="1">
    <w:name w:val="Cita1"/>
    <w:basedOn w:val="Normal1"/>
    <w:qFormat/>
    <w:pPr>
      <w:spacing w:before="0" w:after="283"/>
      <w:ind w:left="567" w:right="567" w:hanging="0"/>
    </w:pPr>
    <w:rPr/>
  </w:style>
  <w:style w:type="paragraph" w:styleId="ListParagraph">
    <w:name w:val="List Paragraph"/>
    <w:basedOn w:val="Normal1"/>
    <w:qFormat/>
    <w:pPr>
      <w:ind w:left="720" w:hanging="0"/>
    </w:pPr>
    <w:rPr/>
  </w:style>
  <w:style w:type="paragraph" w:styleId="Notaalpie" w:customStyle="1">
    <w:name w:val="Nota al pie"/>
    <w:basedOn w:val="Normal1"/>
    <w:rsid w:val="00d1638d"/>
    <w:pPr>
      <w:widowControl w:val="false"/>
      <w:suppressLineNumbers/>
      <w:ind w:left="283" w:hanging="283"/>
    </w:pPr>
    <w:rPr>
      <w:szCs w:val="20"/>
    </w:rPr>
  </w:style>
  <w:style w:type="paragraph" w:styleId="Textodecuerpo2" w:customStyle="1">
    <w:name w:val="Texto de cuerpo 2"/>
    <w:basedOn w:val="Normal1"/>
    <w:qFormat/>
    <w:pPr>
      <w:jc w:val="both"/>
    </w:pPr>
    <w:rPr>
      <w:rFonts w:eastAsia="Arial"/>
      <w:sz w:val="20"/>
      <w:szCs w:val="20"/>
    </w:rPr>
  </w:style>
  <w:style w:type="paragraph" w:styleId="P4" w:customStyle="1">
    <w:name w:val="P4"/>
    <w:basedOn w:val="Normal1"/>
    <w:qFormat/>
    <w:rsid w:val="00d1638d"/>
    <w:pPr>
      <w:jc w:val="center"/>
    </w:pPr>
    <w:rPr>
      <w:b/>
    </w:rPr>
  </w:style>
  <w:style w:type="paragraph" w:styleId="P20" w:customStyle="1">
    <w:name w:val="P20"/>
    <w:basedOn w:val="Normal1"/>
    <w:qFormat/>
    <w:rsid w:val="00d1638d"/>
    <w:pPr>
      <w:jc w:val="both"/>
    </w:pPr>
    <w:rPr/>
  </w:style>
  <w:style w:type="paragraph" w:styleId="P21" w:customStyle="1">
    <w:name w:val="P21"/>
    <w:basedOn w:val="Normal1"/>
    <w:qFormat/>
    <w:rsid w:val="00d1638d"/>
    <w:pPr>
      <w:jc w:val="both"/>
    </w:pPr>
    <w:rPr/>
  </w:style>
  <w:style w:type="paragraph" w:styleId="P22" w:customStyle="1">
    <w:name w:val="P22"/>
    <w:basedOn w:val="Normal1"/>
    <w:qFormat/>
    <w:rsid w:val="00d1638d"/>
    <w:pPr>
      <w:jc w:val="both"/>
    </w:pPr>
    <w:rPr/>
  </w:style>
  <w:style w:type="paragraph" w:styleId="P6" w:customStyle="1">
    <w:name w:val="P6"/>
    <w:basedOn w:val="Normal1"/>
    <w:qFormat/>
    <w:rsid w:val="00d1638d"/>
    <w:pPr>
      <w:jc w:val="both"/>
    </w:pPr>
    <w:rPr/>
  </w:style>
  <w:style w:type="paragraph" w:styleId="P7" w:customStyle="1">
    <w:name w:val="P7"/>
    <w:basedOn w:val="Normal1"/>
    <w:qFormat/>
    <w:rsid w:val="00d1638d"/>
    <w:pPr>
      <w:jc w:val="both"/>
    </w:pPr>
    <w:rPr/>
  </w:style>
  <w:style w:type="paragraph" w:styleId="P24" w:customStyle="1">
    <w:name w:val="P24"/>
    <w:basedOn w:val="Normal1"/>
    <w:qFormat/>
    <w:rsid w:val="00d1638d"/>
    <w:pPr>
      <w:jc w:val="both"/>
    </w:pPr>
    <w:rPr/>
  </w:style>
  <w:style w:type="paragraph" w:styleId="P25" w:customStyle="1">
    <w:name w:val="P25"/>
    <w:basedOn w:val="Normal1"/>
    <w:qFormat/>
    <w:rsid w:val="00d1638d"/>
    <w:pPr>
      <w:jc w:val="both"/>
    </w:pPr>
    <w:rPr/>
  </w:style>
  <w:style w:type="paragraph" w:styleId="P9" w:customStyle="1">
    <w:name w:val="P9"/>
    <w:basedOn w:val="Normal1"/>
    <w:qFormat/>
    <w:rsid w:val="00d1638d"/>
    <w:pPr>
      <w:jc w:val="both"/>
    </w:pPr>
    <w:rPr/>
  </w:style>
  <w:style w:type="paragraph" w:styleId="P8" w:customStyle="1">
    <w:name w:val="P8"/>
    <w:basedOn w:val="Normal1"/>
    <w:qFormat/>
    <w:rsid w:val="00d1638d"/>
    <w:pPr>
      <w:jc w:val="both"/>
    </w:pPr>
    <w:rPr/>
  </w:style>
  <w:style w:type="paragraph" w:styleId="P26" w:customStyle="1">
    <w:name w:val="P26"/>
    <w:basedOn w:val="Normal1"/>
    <w:qFormat/>
    <w:rsid w:val="00d1638d"/>
    <w:pPr>
      <w:jc w:val="both"/>
    </w:pPr>
    <w:rPr/>
  </w:style>
  <w:style w:type="paragraph" w:styleId="P10" w:customStyle="1">
    <w:name w:val="P10"/>
    <w:basedOn w:val="Normal1"/>
    <w:qFormat/>
    <w:rsid w:val="00d1638d"/>
    <w:pPr>
      <w:jc w:val="both"/>
    </w:pPr>
    <w:rPr/>
  </w:style>
  <w:style w:type="paragraph" w:styleId="P11" w:customStyle="1">
    <w:name w:val="P11"/>
    <w:basedOn w:val="Normal1"/>
    <w:qFormat/>
    <w:rsid w:val="00d1638d"/>
    <w:pPr>
      <w:jc w:val="both"/>
    </w:pPr>
    <w:rPr/>
  </w:style>
  <w:style w:type="paragraph" w:styleId="P27" w:customStyle="1">
    <w:name w:val="P27"/>
    <w:basedOn w:val="Normal1"/>
    <w:qFormat/>
    <w:rsid w:val="00d1638d"/>
    <w:pPr>
      <w:jc w:val="both"/>
    </w:pPr>
    <w:rPr/>
  </w:style>
  <w:style w:type="paragraph" w:styleId="P12" w:customStyle="1">
    <w:name w:val="P12"/>
    <w:basedOn w:val="Normal1"/>
    <w:qFormat/>
    <w:rsid w:val="00d1638d"/>
    <w:pPr>
      <w:jc w:val="both"/>
    </w:pPr>
    <w:rPr/>
  </w:style>
  <w:style w:type="paragraph" w:styleId="P13" w:customStyle="1">
    <w:name w:val="P13"/>
    <w:basedOn w:val="Normal1"/>
    <w:qFormat/>
    <w:rsid w:val="00d1638d"/>
    <w:pPr>
      <w:jc w:val="both"/>
    </w:pPr>
    <w:rPr/>
  </w:style>
  <w:style w:type="paragraph" w:styleId="P29" w:customStyle="1">
    <w:name w:val="P29"/>
    <w:basedOn w:val="Normal1"/>
    <w:qFormat/>
    <w:rsid w:val="00d1638d"/>
    <w:pPr>
      <w:jc w:val="both"/>
    </w:pPr>
    <w:rPr/>
  </w:style>
  <w:style w:type="paragraph" w:styleId="P19" w:customStyle="1">
    <w:name w:val="P19"/>
    <w:basedOn w:val="Normal1"/>
    <w:qFormat/>
    <w:rsid w:val="00d1638d"/>
    <w:pPr>
      <w:jc w:val="both"/>
    </w:pPr>
    <w:rPr/>
  </w:style>
  <w:style w:type="paragraph" w:styleId="P18" w:customStyle="1">
    <w:name w:val="P18"/>
    <w:basedOn w:val="Normal1"/>
    <w:qFormat/>
    <w:rsid w:val="00d1638d"/>
    <w:pPr>
      <w:jc w:val="both"/>
    </w:pPr>
    <w:rPr/>
  </w:style>
  <w:style w:type="paragraph" w:styleId="P23" w:customStyle="1">
    <w:name w:val="P23"/>
    <w:basedOn w:val="Normal1"/>
    <w:qFormat/>
    <w:rsid w:val="00d1638d"/>
    <w:pPr>
      <w:jc w:val="both"/>
    </w:pPr>
    <w:rPr/>
  </w:style>
  <w:style w:type="paragraph" w:styleId="P16" w:customStyle="1">
    <w:name w:val="P16"/>
    <w:basedOn w:val="Normal1"/>
    <w:qFormat/>
    <w:rsid w:val="00d1638d"/>
    <w:pPr>
      <w:jc w:val="both"/>
    </w:pPr>
    <w:rPr/>
  </w:style>
  <w:style w:type="paragraph" w:styleId="NormalWeb">
    <w:name w:val="Normal (Web)"/>
    <w:basedOn w:val="Normal1"/>
    <w:uiPriority w:val="99"/>
    <w:semiHidden/>
    <w:unhideWhenUsed/>
    <w:qFormat/>
    <w:rsid w:val="00bf3849"/>
    <w:pPr>
      <w:suppressAutoHyphens w:val="false"/>
      <w:spacing w:before="280" w:after="119"/>
      <w:textAlignment w:val="auto"/>
    </w:pPr>
    <w:rPr>
      <w:rFonts w:ascii="Times New Roman" w:hAnsi="Times New Roman" w:eastAsia="Times New Roman" w:cs="Times New Roman"/>
      <w:lang w:val="es-CO"/>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numbering" w:styleId="WW8Num1" w:customStyle="1">
    <w:name w:val="WW8Num1"/>
  </w:style>
  <w:style w:type="numbering" w:styleId="WW8Num2" w:customStyle="1">
    <w:name w:val="WW8Num2"/>
  </w:style>
  <w:style w:type="numbering" w:styleId="WW8Num3" w:customStyle="1">
    <w:name w:val="WW8Num3"/>
  </w:style>
  <w:style w:type="numbering" w:styleId="WW8Num4" w:customStyle="1">
    <w:name w:val="WW8Num4"/>
  </w:style>
  <w:style w:type="numbering" w:styleId="WW8Num5" w:customStyle="1">
    <w:name w:val="WW8Num5"/>
  </w:style>
  <w:style w:type="numbering" w:styleId="WW8Num6" w:customStyle="1">
    <w:name w:val="WW8Num6"/>
  </w:style>
  <w:style w:type="numbering" w:styleId="WW8Num7" w:customStyle="1">
    <w:name w:val="WW8Num7"/>
  </w:style>
  <w:style w:type="numbering" w:styleId="WW8Num8" w:customStyle="1">
    <w:name w:val="WW8Num8"/>
  </w:style>
  <w:style w:type="numbering" w:styleId="WW8Num9" w:customStyle="1">
    <w:name w:val="WW8Num9"/>
  </w:style>
  <w:style w:type="numbering" w:styleId="WW8Num10" w:customStyle="1">
    <w:name w:val="WW8Num10"/>
  </w:style>
  <w:style w:type="numbering" w:styleId="WW8Num25" w:customStyle="1">
    <w:name w:val="WW8Num25"/>
  </w:style>
  <w:style w:type="numbering" w:styleId="WW8Num11" w:customStyle="1">
    <w:name w:val="WW8Num11"/>
  </w:style>
  <w:style w:type="numbering" w:styleId="WW8Num12" w:customStyle="1">
    <w:name w:val="WW8Num12"/>
  </w:style>
  <w:style w:type="numbering" w:styleId="WW8Num13" w:customStyle="1">
    <w:name w:val="WW8Num13"/>
  </w:style>
  <w:style w:type="numbering" w:styleId="WW8Num24" w:customStyle="1">
    <w:name w:val="WW8Num24"/>
  </w:style>
  <w:style w:type="numbering" w:styleId="WW8Num15" w:customStyle="1">
    <w:name w:val="WW8Num15"/>
  </w:style>
  <w:style w:type="numbering" w:styleId="WW8Num16" w:customStyle="1">
    <w:name w:val="WW8Num16"/>
  </w:style>
  <w:style w:type="numbering" w:styleId="WW8Num19" w:customStyle="1">
    <w:name w:val="WW8Num19"/>
  </w:style>
  <w:style w:type="numbering" w:styleId="WW8Num17" w:customStyle="1">
    <w:name w:val="WW8Num17"/>
  </w:style>
  <w:style w:type="numbering" w:styleId="WW8Num18" w:customStyle="1">
    <w:name w:val="WW8Num18"/>
  </w:style>
  <w:style w:type="numbering" w:styleId="WW8Num20" w:customStyle="1">
    <w:name w:val="WW8Num20"/>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F49E9-2124-4579-8213-544B8002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LibreOffice/5.0.0.5$Linux_x86 LibreOffice_project/437e4abdf9e72fd0a6e6f8697a0e659bc77f9b10</Application>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2015-11-05T21:41:00Z</dcterms:created>
  <dc:creator>Dirección de Planeación y Procesos Estratégicos</dc:creator>
  <dc:language>es-CO</dc:language>
  <cp:lastModifiedBy>Maria Cecilia</cp:lastModifiedBy>
  <cp:lastPrinted>2013-10-24T12:13:00Z</cp:lastPrinted>
  <dcterms:modified xsi:type="dcterms:W3CDTF">2015-11-05T21:41:00Z</dcterms:modified>
  <cp:revision>2</cp:revision>
  <dc:subject>SECRETARÍA DE CULTURA, RECREACIÓN Y DEPORTE</dc:subject>
  <dc:title>SECRETARÍA DISTRITAL DE CULTURA, RECREACIÓN Y DEPORTE ANTEPROYECTO DE PRESUPUESTO VIGENCIA FISCAL 2010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